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DD909">
      <w:pPr>
        <w:spacing w:before="120" w:after="120" w:line="360" w:lineRule="auto"/>
        <w:jc w:val="center"/>
        <w:rPr>
          <w:rFonts w:hint="eastAsia" w:ascii="方正仿宋_GB2312" w:hAnsi="方正仿宋_GB2312" w:eastAsia="方正仿宋_GB2312" w:cs="方正仿宋_GB2312"/>
          <w:b/>
          <w:strike/>
          <w:dstrike w:val="0"/>
          <w:color w:val="auto"/>
          <w:sz w:val="84"/>
          <w:szCs w:val="24"/>
          <w:highlight w:val="none"/>
          <w:lang w:bidi="ar"/>
        </w:rPr>
      </w:pPr>
    </w:p>
    <w:p w14:paraId="174A7C19">
      <w:pPr>
        <w:spacing w:before="120" w:after="120" w:line="360" w:lineRule="auto"/>
        <w:jc w:val="center"/>
        <w:rPr>
          <w:rFonts w:hint="eastAsia" w:ascii="黑体" w:hAnsi="黑体" w:eastAsia="黑体" w:cs="黑体"/>
          <w:bCs/>
          <w:color w:val="auto"/>
          <w:sz w:val="84"/>
          <w:szCs w:val="24"/>
          <w:highlight w:val="none"/>
          <w:lang w:bidi="ar"/>
        </w:rPr>
      </w:pPr>
      <w:r>
        <w:rPr>
          <w:rFonts w:hint="eastAsia" w:ascii="黑体" w:hAnsi="黑体" w:eastAsia="黑体" w:cs="黑体"/>
          <w:bCs/>
          <w:color w:val="auto"/>
          <w:sz w:val="84"/>
          <w:szCs w:val="24"/>
          <w:highlight w:val="none"/>
          <w:lang w:bidi="ar"/>
        </w:rPr>
        <w:t>招　标　文　件</w:t>
      </w:r>
    </w:p>
    <w:p w14:paraId="713F7757">
      <w:pPr>
        <w:rPr>
          <w:rFonts w:hint="eastAsia" w:ascii="黑体" w:hAnsi="黑体" w:eastAsia="黑体" w:cs="黑体"/>
          <w:b/>
          <w:color w:val="auto"/>
          <w:sz w:val="30"/>
          <w:szCs w:val="30"/>
          <w:highlight w:val="none"/>
          <w:lang w:bidi="ar"/>
        </w:rPr>
      </w:pPr>
    </w:p>
    <w:p w14:paraId="4972EDD6">
      <w:pPr>
        <w:rPr>
          <w:rFonts w:hint="eastAsia" w:ascii="黑体" w:hAnsi="黑体" w:eastAsia="黑体" w:cs="黑体"/>
          <w:b/>
          <w:color w:val="auto"/>
          <w:sz w:val="30"/>
          <w:szCs w:val="30"/>
          <w:highlight w:val="none"/>
          <w:lang w:bidi="ar"/>
        </w:rPr>
      </w:pPr>
    </w:p>
    <w:tbl>
      <w:tblPr>
        <w:tblStyle w:val="55"/>
        <w:tblW w:w="9395" w:type="dxa"/>
        <w:jc w:val="center"/>
        <w:tblLayout w:type="autofit"/>
        <w:tblCellMar>
          <w:top w:w="0" w:type="dxa"/>
          <w:left w:w="108" w:type="dxa"/>
          <w:bottom w:w="0" w:type="dxa"/>
          <w:right w:w="108" w:type="dxa"/>
        </w:tblCellMar>
      </w:tblPr>
      <w:tblGrid>
        <w:gridCol w:w="2588"/>
        <w:gridCol w:w="6807"/>
      </w:tblGrid>
      <w:tr w14:paraId="73054B47">
        <w:tblPrEx>
          <w:tblCellMar>
            <w:top w:w="0" w:type="dxa"/>
            <w:left w:w="108" w:type="dxa"/>
            <w:bottom w:w="0" w:type="dxa"/>
            <w:right w:w="108" w:type="dxa"/>
          </w:tblCellMar>
        </w:tblPrEx>
        <w:trPr>
          <w:jc w:val="center"/>
        </w:trPr>
        <w:tc>
          <w:tcPr>
            <w:tcW w:w="2588" w:type="dxa"/>
            <w:vAlign w:val="center"/>
          </w:tcPr>
          <w:p w14:paraId="576B4492">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项目名称：</w:t>
            </w:r>
          </w:p>
        </w:tc>
        <w:tc>
          <w:tcPr>
            <w:tcW w:w="6807" w:type="dxa"/>
            <w:vAlign w:val="center"/>
          </w:tcPr>
          <w:p w14:paraId="7A2B8390">
            <w:pPr>
              <w:autoSpaceDE w:val="0"/>
              <w:autoSpaceDN w:val="0"/>
              <w:adjustRightInd w:val="0"/>
              <w:snapToGrid w:val="0"/>
              <w:spacing w:line="500" w:lineRule="exact"/>
              <w:rPr>
                <w:rFonts w:hint="eastAsia" w:ascii="黑体" w:hAnsi="黑体" w:eastAsia="黑体" w:cs="黑体"/>
                <w:bCs/>
                <w:color w:val="auto"/>
                <w:sz w:val="30"/>
                <w:szCs w:val="30"/>
                <w:highlight w:val="none"/>
                <w:lang w:eastAsia="zh-CN"/>
              </w:rPr>
            </w:pPr>
            <w:r>
              <w:rPr>
                <w:rFonts w:hint="eastAsia" w:ascii="黑体" w:hAnsi="黑体" w:eastAsia="黑体" w:cs="黑体"/>
                <w:bCs/>
                <w:color w:val="auto"/>
                <w:sz w:val="30"/>
                <w:szCs w:val="30"/>
                <w:highlight w:val="none"/>
                <w:lang w:eastAsia="zh-CN" w:bidi="ar"/>
              </w:rPr>
              <w:t>三重四极杆质谱仪采购</w:t>
            </w:r>
          </w:p>
        </w:tc>
      </w:tr>
      <w:tr w14:paraId="1FAAB10E">
        <w:tblPrEx>
          <w:tblCellMar>
            <w:top w:w="0" w:type="dxa"/>
            <w:left w:w="108" w:type="dxa"/>
            <w:bottom w:w="0" w:type="dxa"/>
            <w:right w:w="108" w:type="dxa"/>
          </w:tblCellMar>
        </w:tblPrEx>
        <w:trPr>
          <w:jc w:val="center"/>
        </w:trPr>
        <w:tc>
          <w:tcPr>
            <w:tcW w:w="2588" w:type="dxa"/>
            <w:vAlign w:val="center"/>
          </w:tcPr>
          <w:p w14:paraId="0C0DAB5F">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项目编号：</w:t>
            </w:r>
          </w:p>
        </w:tc>
        <w:tc>
          <w:tcPr>
            <w:tcW w:w="6807" w:type="dxa"/>
            <w:vAlign w:val="center"/>
          </w:tcPr>
          <w:p w14:paraId="538F89F6">
            <w:pPr>
              <w:autoSpaceDE w:val="0"/>
              <w:autoSpaceDN w:val="0"/>
              <w:adjustRightInd w:val="0"/>
              <w:snapToGrid w:val="0"/>
              <w:spacing w:line="500" w:lineRule="exact"/>
              <w:rPr>
                <w:rFonts w:hint="eastAsia" w:ascii="黑体" w:hAnsi="黑体" w:eastAsia="黑体" w:cs="黑体"/>
                <w:bCs/>
                <w:color w:val="auto"/>
                <w:sz w:val="30"/>
                <w:szCs w:val="30"/>
                <w:highlight w:val="none"/>
                <w:lang w:eastAsia="zh-CN"/>
              </w:rPr>
            </w:pPr>
            <w:r>
              <w:rPr>
                <w:rFonts w:hint="eastAsia" w:ascii="黑体" w:hAnsi="黑体" w:eastAsia="黑体" w:cs="黑体"/>
                <w:bCs/>
                <w:color w:val="auto"/>
                <w:sz w:val="30"/>
                <w:szCs w:val="30"/>
                <w:highlight w:val="none"/>
                <w:lang w:eastAsia="zh-CN" w:bidi="ar"/>
              </w:rPr>
              <w:t>JSZC-321300-HZJS-G2026-0011</w:t>
            </w:r>
          </w:p>
        </w:tc>
      </w:tr>
    </w:tbl>
    <w:p w14:paraId="0AB7A48B">
      <w:pPr>
        <w:ind w:left="2800" w:hanging="2800"/>
        <w:rPr>
          <w:rFonts w:hint="eastAsia" w:ascii="黑体" w:hAnsi="黑体" w:eastAsia="黑体" w:cs="黑体"/>
          <w:color w:val="auto"/>
          <w:sz w:val="28"/>
          <w:szCs w:val="28"/>
          <w:highlight w:val="none"/>
          <w:lang w:bidi="ar"/>
        </w:rPr>
      </w:pPr>
    </w:p>
    <w:p w14:paraId="16BDBAE4">
      <w:pPr>
        <w:spacing w:line="360" w:lineRule="auto"/>
        <w:jc w:val="left"/>
        <w:rPr>
          <w:rFonts w:hint="eastAsia" w:ascii="黑体" w:hAnsi="黑体" w:eastAsia="黑体" w:cs="黑体"/>
          <w:color w:val="auto"/>
          <w:sz w:val="24"/>
          <w:szCs w:val="24"/>
          <w:highlight w:val="none"/>
        </w:rPr>
      </w:pPr>
    </w:p>
    <w:p w14:paraId="45A0FDE7">
      <w:pPr>
        <w:spacing w:line="360" w:lineRule="auto"/>
        <w:jc w:val="left"/>
        <w:rPr>
          <w:rFonts w:hint="eastAsia" w:ascii="黑体" w:hAnsi="黑体" w:eastAsia="黑体" w:cs="黑体"/>
          <w:color w:val="auto"/>
          <w:sz w:val="24"/>
          <w:szCs w:val="24"/>
          <w:highlight w:val="none"/>
        </w:rPr>
      </w:pPr>
    </w:p>
    <w:tbl>
      <w:tblPr>
        <w:tblStyle w:val="55"/>
        <w:tblW w:w="9395" w:type="dxa"/>
        <w:jc w:val="center"/>
        <w:tblLayout w:type="autofit"/>
        <w:tblCellMar>
          <w:top w:w="0" w:type="dxa"/>
          <w:left w:w="108" w:type="dxa"/>
          <w:bottom w:w="0" w:type="dxa"/>
          <w:right w:w="108" w:type="dxa"/>
        </w:tblCellMar>
      </w:tblPr>
      <w:tblGrid>
        <w:gridCol w:w="2590"/>
        <w:gridCol w:w="6805"/>
      </w:tblGrid>
      <w:tr w14:paraId="32A70211">
        <w:tblPrEx>
          <w:tblCellMar>
            <w:top w:w="0" w:type="dxa"/>
            <w:left w:w="108" w:type="dxa"/>
            <w:bottom w:w="0" w:type="dxa"/>
            <w:right w:w="108" w:type="dxa"/>
          </w:tblCellMar>
        </w:tblPrEx>
        <w:trPr>
          <w:jc w:val="center"/>
        </w:trPr>
        <w:tc>
          <w:tcPr>
            <w:tcW w:w="2590" w:type="dxa"/>
            <w:vAlign w:val="center"/>
          </w:tcPr>
          <w:p w14:paraId="6727959D">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采购人：</w:t>
            </w:r>
          </w:p>
        </w:tc>
        <w:tc>
          <w:tcPr>
            <w:tcW w:w="6805" w:type="dxa"/>
            <w:vAlign w:val="center"/>
          </w:tcPr>
          <w:p w14:paraId="6C2A4BB5">
            <w:pPr>
              <w:autoSpaceDE w:val="0"/>
              <w:autoSpaceDN w:val="0"/>
              <w:adjustRightInd w:val="0"/>
              <w:snapToGrid w:val="0"/>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宿迁市疾病预防控制中心</w:t>
            </w:r>
          </w:p>
        </w:tc>
      </w:tr>
      <w:tr w14:paraId="38A4415E">
        <w:tblPrEx>
          <w:tblCellMar>
            <w:top w:w="0" w:type="dxa"/>
            <w:left w:w="108" w:type="dxa"/>
            <w:bottom w:w="0" w:type="dxa"/>
            <w:right w:w="108" w:type="dxa"/>
          </w:tblCellMar>
        </w:tblPrEx>
        <w:trPr>
          <w:trHeight w:val="329" w:hRule="atLeast"/>
          <w:jc w:val="center"/>
        </w:trPr>
        <w:tc>
          <w:tcPr>
            <w:tcW w:w="2590" w:type="dxa"/>
            <w:vAlign w:val="center"/>
          </w:tcPr>
          <w:p w14:paraId="287427A3">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采购代理机构：</w:t>
            </w:r>
          </w:p>
        </w:tc>
        <w:tc>
          <w:tcPr>
            <w:tcW w:w="6805" w:type="dxa"/>
            <w:vAlign w:val="center"/>
          </w:tcPr>
          <w:p w14:paraId="6275699E">
            <w:pPr>
              <w:autoSpaceDE w:val="0"/>
              <w:autoSpaceDN w:val="0"/>
              <w:adjustRightInd w:val="0"/>
              <w:snapToGrid w:val="0"/>
              <w:rPr>
                <w:rFonts w:hint="eastAsia" w:ascii="黑体" w:hAnsi="黑体" w:eastAsia="黑体" w:cs="黑体"/>
                <w:color w:val="auto"/>
                <w:sz w:val="30"/>
                <w:szCs w:val="30"/>
                <w:highlight w:val="none"/>
              </w:rPr>
            </w:pPr>
            <w:bookmarkStart w:id="0" w:name="EB994c80f0496e46c7a5848e70229c6611"/>
            <w:r>
              <w:rPr>
                <w:rFonts w:hint="eastAsia" w:ascii="黑体" w:hAnsi="黑体" w:eastAsia="黑体" w:cs="黑体"/>
                <w:color w:val="auto"/>
                <w:sz w:val="30"/>
                <w:szCs w:val="30"/>
                <w:highlight w:val="none"/>
              </w:rPr>
              <w:t>江苏宏壮工程项目管理有限公司</w:t>
            </w:r>
            <w:bookmarkEnd w:id="0"/>
          </w:p>
        </w:tc>
      </w:tr>
      <w:tr w14:paraId="5028FDC2">
        <w:tblPrEx>
          <w:tblCellMar>
            <w:top w:w="0" w:type="dxa"/>
            <w:left w:w="108" w:type="dxa"/>
            <w:bottom w:w="0" w:type="dxa"/>
            <w:right w:w="108" w:type="dxa"/>
          </w:tblCellMar>
        </w:tblPrEx>
        <w:trPr>
          <w:jc w:val="center"/>
        </w:trPr>
        <w:tc>
          <w:tcPr>
            <w:tcW w:w="2590" w:type="dxa"/>
            <w:vAlign w:val="center"/>
          </w:tcPr>
          <w:p w14:paraId="700EA3CE">
            <w:pPr>
              <w:autoSpaceDE w:val="0"/>
              <w:autoSpaceDN w:val="0"/>
              <w:adjustRightInd w:val="0"/>
              <w:snapToGrid w:val="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日  期：</w:t>
            </w:r>
          </w:p>
        </w:tc>
        <w:tc>
          <w:tcPr>
            <w:tcW w:w="6805" w:type="dxa"/>
            <w:vAlign w:val="center"/>
          </w:tcPr>
          <w:p w14:paraId="4773043E">
            <w:pPr>
              <w:autoSpaceDE w:val="0"/>
              <w:autoSpaceDN w:val="0"/>
              <w:adjustRightInd w:val="0"/>
              <w:snapToGrid w:val="0"/>
              <w:rPr>
                <w:rFonts w:hint="eastAsia" w:ascii="黑体" w:hAnsi="黑体" w:eastAsia="黑体" w:cs="黑体"/>
                <w:color w:val="auto"/>
                <w:sz w:val="30"/>
                <w:szCs w:val="30"/>
                <w:highlight w:val="none"/>
              </w:rPr>
            </w:pPr>
            <w:bookmarkStart w:id="1" w:name="EB19ac746bdc40483fb38331d24be336f4"/>
            <w:r>
              <w:rPr>
                <w:rFonts w:hint="eastAsia" w:ascii="黑体" w:hAnsi="黑体" w:eastAsia="黑体" w:cs="黑体"/>
                <w:color w:val="auto"/>
                <w:sz w:val="30"/>
                <w:szCs w:val="30"/>
                <w:highlight w:val="none"/>
              </w:rPr>
              <w:t>2026年</w:t>
            </w:r>
            <w:r>
              <w:rPr>
                <w:rFonts w:hint="eastAsia" w:ascii="黑体" w:hAnsi="黑体" w:eastAsia="黑体" w:cs="黑体"/>
                <w:color w:val="auto"/>
                <w:sz w:val="30"/>
                <w:szCs w:val="30"/>
                <w:highlight w:val="none"/>
                <w:lang w:val="en-US" w:eastAsia="zh-CN"/>
              </w:rPr>
              <w:t>7</w:t>
            </w:r>
            <w:r>
              <w:rPr>
                <w:rFonts w:hint="eastAsia" w:ascii="黑体" w:hAnsi="黑体" w:eastAsia="黑体" w:cs="黑体"/>
                <w:color w:val="auto"/>
                <w:sz w:val="30"/>
                <w:szCs w:val="30"/>
                <w:highlight w:val="none"/>
              </w:rPr>
              <w:t>月</w:t>
            </w:r>
            <w:r>
              <w:rPr>
                <w:rFonts w:hint="eastAsia" w:ascii="黑体" w:hAnsi="黑体" w:eastAsia="黑体" w:cs="黑体"/>
                <w:color w:val="auto"/>
                <w:sz w:val="30"/>
                <w:szCs w:val="30"/>
                <w:highlight w:val="none"/>
                <w:lang w:val="en-US" w:eastAsia="zh-CN"/>
              </w:rPr>
              <w:t>23</w:t>
            </w:r>
            <w:r>
              <w:rPr>
                <w:rFonts w:hint="eastAsia" w:ascii="黑体" w:hAnsi="黑体" w:eastAsia="黑体" w:cs="黑体"/>
                <w:color w:val="auto"/>
                <w:sz w:val="30"/>
                <w:szCs w:val="30"/>
                <w:highlight w:val="none"/>
              </w:rPr>
              <w:t>日</w:t>
            </w:r>
            <w:bookmarkEnd w:id="1"/>
          </w:p>
        </w:tc>
      </w:tr>
    </w:tbl>
    <w:p w14:paraId="70C8B239">
      <w:pPr>
        <w:spacing w:line="360" w:lineRule="auto"/>
        <w:jc w:val="left"/>
        <w:rPr>
          <w:rFonts w:hint="eastAsia" w:ascii="黑体" w:hAnsi="黑体" w:eastAsia="黑体" w:cs="黑体"/>
          <w:color w:val="auto"/>
          <w:sz w:val="24"/>
          <w:szCs w:val="24"/>
          <w:highlight w:val="none"/>
        </w:rPr>
      </w:pPr>
    </w:p>
    <w:p w14:paraId="3B372E73">
      <w:pPr>
        <w:spacing w:before="120" w:after="120" w:line="360" w:lineRule="auto"/>
        <w:jc w:val="center"/>
        <w:rPr>
          <w:rFonts w:hint="eastAsia" w:ascii="方正仿宋_GB2312" w:hAnsi="方正仿宋_GB2312" w:eastAsia="方正仿宋_GB2312" w:cs="方正仿宋_GB2312"/>
          <w:b/>
          <w:color w:val="auto"/>
          <w:sz w:val="32"/>
          <w:szCs w:val="24"/>
          <w:highlight w:val="none"/>
        </w:rPr>
      </w:pPr>
    </w:p>
    <w:p w14:paraId="66AFD887">
      <w:pPr>
        <w:keepNext/>
        <w:keepLines/>
        <w:pageBreakBefore/>
        <w:jc w:val="center"/>
        <w:rPr>
          <w:rFonts w:hint="eastAsia"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44"/>
          <w:szCs w:val="44"/>
          <w:highlight w:val="none"/>
        </w:rPr>
        <w:t>目  录</w:t>
      </w:r>
    </w:p>
    <w:p w14:paraId="4B3B264B">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TOC \o "1-1" \h \u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_Toc14324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_Toc14324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5289F57E">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_Toc6229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_Toc6229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0FFA268B">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_Toc10424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第三章  资格审查及评标方法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_Toc10424 \h </w:instrText>
      </w:r>
      <w:r>
        <w:rPr>
          <w:color w:val="auto"/>
          <w:sz w:val="28"/>
          <w:szCs w:val="28"/>
          <w:highlight w:val="none"/>
        </w:rPr>
        <w:fldChar w:fldCharType="separate"/>
      </w:r>
      <w:r>
        <w:rPr>
          <w:color w:val="auto"/>
          <w:sz w:val="28"/>
          <w:szCs w:val="28"/>
          <w:highlight w:val="none"/>
        </w:rPr>
        <w:t>18</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76BD0D8F">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_Toc45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_Toc45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5FD50A6B">
      <w:pPr>
        <w:pStyle w:val="37"/>
        <w:tabs>
          <w:tab w:val="right" w:leader="dot" w:pos="9185"/>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_Toc18529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color w:val="auto"/>
          <w:sz w:val="28"/>
          <w:szCs w:val="28"/>
          <w:highlight w:val="none"/>
        </w:rPr>
        <w:t xml:space="preserve">第五章  </w:t>
      </w:r>
      <w:r>
        <w:rPr>
          <w:rFonts w:hint="eastAsia" w:ascii="方正仿宋_GB2312" w:hAnsi="方正仿宋_GB2312" w:eastAsia="方正仿宋_GB2312" w:cs="方正仿宋_GB2312"/>
          <w:bCs/>
          <w:color w:val="auto"/>
          <w:sz w:val="28"/>
          <w:szCs w:val="28"/>
          <w:highlight w:val="none"/>
        </w:rPr>
        <w:t>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_Toc18529 \h </w:instrText>
      </w:r>
      <w:r>
        <w:rPr>
          <w:color w:val="auto"/>
          <w:sz w:val="28"/>
          <w:szCs w:val="28"/>
          <w:highlight w:val="none"/>
        </w:rPr>
        <w:fldChar w:fldCharType="separate"/>
      </w:r>
      <w:r>
        <w:rPr>
          <w:color w:val="auto"/>
          <w:sz w:val="28"/>
          <w:szCs w:val="28"/>
          <w:highlight w:val="none"/>
        </w:rPr>
        <w:t>26</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374766DA">
      <w:pPr>
        <w:pStyle w:val="37"/>
        <w:tabs>
          <w:tab w:val="right" w:leader="dot" w:pos="9185"/>
        </w:tabs>
        <w:rPr>
          <w:color w:val="auto"/>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_Toc2752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color w:val="auto"/>
          <w:sz w:val="28"/>
          <w:szCs w:val="28"/>
          <w:highlight w:val="none"/>
        </w:rPr>
        <w:t>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_Toc2752 \h </w:instrText>
      </w:r>
      <w:r>
        <w:rPr>
          <w:color w:val="auto"/>
          <w:sz w:val="28"/>
          <w:szCs w:val="28"/>
          <w:highlight w:val="none"/>
        </w:rPr>
        <w:fldChar w:fldCharType="separate"/>
      </w:r>
      <w:r>
        <w:rPr>
          <w:color w:val="auto"/>
          <w:sz w:val="28"/>
          <w:szCs w:val="28"/>
          <w:highlight w:val="none"/>
        </w:rPr>
        <w:t>35</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p>
    <w:p w14:paraId="549588A9">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32"/>
          <w:highlight w:val="none"/>
        </w:rPr>
        <w:fldChar w:fldCharType="end"/>
      </w:r>
    </w:p>
    <w:p w14:paraId="120FC74F">
      <w:pPr>
        <w:keepNext/>
        <w:keepLines/>
        <w:pageBreakBefore/>
        <w:jc w:val="center"/>
        <w:outlineLvl w:val="0"/>
        <w:rPr>
          <w:rFonts w:hint="eastAsia" w:ascii="方正仿宋_GB2312" w:hAnsi="方正仿宋_GB2312" w:eastAsia="方正仿宋_GB2312" w:cs="方正仿宋_GB2312"/>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pgBorders>
            <w:top w:val="none" w:sz="0" w:space="0"/>
            <w:left w:val="none" w:sz="0" w:space="0"/>
            <w:bottom w:val="none" w:sz="0" w:space="0"/>
            <w:right w:val="none" w:sz="0" w:space="0"/>
          </w:pgBorders>
          <w:pgNumType w:fmt="decimal"/>
          <w:cols w:space="720" w:num="1"/>
          <w:docGrid w:linePitch="360" w:charSpace="0"/>
        </w:sectPr>
      </w:pPr>
      <w:bookmarkStart w:id="2" w:name="_Toc81575189"/>
      <w:bookmarkStart w:id="3" w:name="_Toc81575152"/>
    </w:p>
    <w:p w14:paraId="4FC0E42E">
      <w:pPr>
        <w:pStyle w:val="2"/>
        <w:spacing w:before="200"/>
        <w:jc w:val="center"/>
        <w:rPr>
          <w:rFonts w:hint="eastAsia" w:ascii="方正仿宋_GB2312" w:hAnsi="方正仿宋_GB2312" w:eastAsia="方正仿宋_GB2312" w:cs="方正仿宋_GB2312"/>
          <w:b/>
          <w:bCs/>
          <w:color w:val="auto"/>
          <w:sz w:val="44"/>
          <w:highlight w:val="none"/>
        </w:rPr>
      </w:pPr>
      <w:bookmarkStart w:id="4" w:name="_Toc25722"/>
      <w:bookmarkStart w:id="5" w:name="_Toc14324"/>
      <w:bookmarkStart w:id="6" w:name="_Toc30943"/>
      <w:r>
        <w:rPr>
          <w:rFonts w:hint="eastAsia" w:ascii="方正仿宋_GB2312" w:hAnsi="方正仿宋_GB2312" w:eastAsia="方正仿宋_GB2312" w:cs="方正仿宋_GB2312"/>
          <w:b/>
          <w:bCs/>
          <w:color w:val="auto"/>
          <w:sz w:val="44"/>
          <w:highlight w:val="none"/>
        </w:rPr>
        <w:t>第一章  投标邀请</w:t>
      </w:r>
      <w:bookmarkEnd w:id="2"/>
      <w:bookmarkEnd w:id="3"/>
      <w:bookmarkEnd w:id="4"/>
      <w:bookmarkEnd w:id="5"/>
      <w:bookmarkEnd w:id="6"/>
    </w:p>
    <w:p w14:paraId="1508DBE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受</w:t>
      </w:r>
      <w:r>
        <w:rPr>
          <w:rFonts w:hint="eastAsia" w:ascii="方正仿宋_GB2312" w:hAnsi="方正仿宋_GB2312" w:eastAsia="方正仿宋_GB2312" w:cs="方正仿宋_GB2312"/>
          <w:color w:val="auto"/>
          <w:sz w:val="24"/>
          <w:szCs w:val="24"/>
          <w:highlight w:val="none"/>
          <w:u w:val="single"/>
          <w:lang w:eastAsia="zh-CN"/>
        </w:rPr>
        <w:t>宿迁市疾病预防控制中心</w:t>
      </w:r>
      <w:r>
        <w:rPr>
          <w:rFonts w:hint="eastAsia" w:ascii="方正仿宋_GB2312" w:hAnsi="方正仿宋_GB2312" w:eastAsia="方正仿宋_GB2312" w:cs="方正仿宋_GB2312"/>
          <w:color w:val="auto"/>
          <w:sz w:val="24"/>
          <w:szCs w:val="24"/>
          <w:highlight w:val="none"/>
        </w:rPr>
        <w:t>的委托，</w:t>
      </w:r>
      <w:r>
        <w:rPr>
          <w:rFonts w:hint="eastAsia" w:ascii="方正仿宋_GB2312" w:hAnsi="方正仿宋_GB2312" w:eastAsia="方正仿宋_GB2312" w:cs="方正仿宋_GB2312"/>
          <w:color w:val="auto"/>
          <w:sz w:val="24"/>
          <w:szCs w:val="24"/>
          <w:highlight w:val="none"/>
          <w:u w:val="single"/>
        </w:rPr>
        <w:t>江苏宏壮工程项目管理有限公司</w:t>
      </w:r>
      <w:r>
        <w:rPr>
          <w:rFonts w:hint="eastAsia" w:ascii="方正仿宋_GB2312" w:hAnsi="方正仿宋_GB2312" w:eastAsia="方正仿宋_GB2312" w:cs="方正仿宋_GB2312"/>
          <w:color w:val="auto"/>
          <w:sz w:val="24"/>
          <w:szCs w:val="24"/>
          <w:highlight w:val="none"/>
        </w:rPr>
        <w:t>就</w:t>
      </w:r>
      <w:r>
        <w:rPr>
          <w:rFonts w:hint="eastAsia" w:ascii="方正仿宋_GB2312" w:hAnsi="方正仿宋_GB2312" w:eastAsia="方正仿宋_GB2312" w:cs="方正仿宋_GB2312"/>
          <w:color w:val="auto"/>
          <w:sz w:val="24"/>
          <w:szCs w:val="24"/>
          <w:highlight w:val="none"/>
          <w:u w:val="single"/>
          <w:lang w:eastAsia="zh-CN"/>
        </w:rPr>
        <w:t>三重四极杆质谱仪采购</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lang w:eastAsia="zh-CN"/>
        </w:rPr>
        <w:t>JSZC-321300-HZJS-G2026-0011</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rPr>
        <w:t>进行公开招标采购，欢迎符合条件的投标人投标。</w:t>
      </w:r>
    </w:p>
    <w:p w14:paraId="53017828">
      <w:pPr>
        <w:pBdr>
          <w:top w:val="single" w:color="auto" w:sz="4" w:space="1"/>
          <w:left w:val="single" w:color="auto" w:sz="4" w:space="4"/>
          <w:bottom w:val="single" w:color="auto" w:sz="4" w:space="1"/>
          <w:right w:val="single" w:color="auto" w:sz="4" w:space="4"/>
        </w:pBd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项目概况</w:t>
      </w:r>
    </w:p>
    <w:p w14:paraId="7334C25B">
      <w:pPr>
        <w:pBdr>
          <w:top w:val="single" w:color="auto" w:sz="4" w:space="1"/>
          <w:left w:val="single" w:color="auto" w:sz="4" w:space="4"/>
          <w:bottom w:val="single" w:color="auto" w:sz="4" w:space="1"/>
          <w:right w:val="single" w:color="auto" w:sz="4" w:space="4"/>
        </w:pBd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lang w:eastAsia="zh-CN"/>
        </w:rPr>
        <w:t>三重四极杆质谱仪采购</w:t>
      </w:r>
      <w:r>
        <w:rPr>
          <w:rFonts w:hint="eastAsia" w:ascii="方正仿宋_GB2312" w:hAnsi="方正仿宋_GB2312" w:eastAsia="方正仿宋_GB2312" w:cs="方正仿宋_GB2312"/>
          <w:color w:val="auto"/>
          <w:sz w:val="24"/>
          <w:szCs w:val="24"/>
          <w:highlight w:val="none"/>
        </w:rPr>
        <w:t>招标项目的潜在投标人可在“江苏政府采购网</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宿迁市政府采购网”自行免费获取招标文件，并于</w:t>
      </w:r>
      <w:r>
        <w:rPr>
          <w:rFonts w:hint="eastAsia" w:ascii="方正仿宋_GB2312" w:hAnsi="方正仿宋_GB2312" w:eastAsia="方正仿宋_GB2312" w:cs="方正仿宋_GB2312"/>
          <w:color w:val="auto"/>
          <w:sz w:val="24"/>
          <w:szCs w:val="24"/>
          <w:highlight w:val="none"/>
          <w:u w:val="single"/>
        </w:rPr>
        <w:t>2026年</w:t>
      </w:r>
      <w:r>
        <w:rPr>
          <w:rFonts w:hint="eastAsia" w:ascii="方正仿宋_GB2312" w:hAnsi="方正仿宋_GB2312" w:eastAsia="方正仿宋_GB2312" w:cs="方正仿宋_GB2312"/>
          <w:bCs/>
          <w:color w:val="auto"/>
          <w:sz w:val="24"/>
          <w:szCs w:val="24"/>
          <w:highlight w:val="none"/>
          <w:u w:val="single"/>
          <w:lang w:val="en-US" w:eastAsia="zh-CN"/>
        </w:rPr>
        <w:t>8</w:t>
      </w:r>
      <w:r>
        <w:rPr>
          <w:rFonts w:hint="eastAsia" w:ascii="方正仿宋_GB2312" w:hAnsi="方正仿宋_GB2312" w:eastAsia="方正仿宋_GB2312" w:cs="方正仿宋_GB2312"/>
          <w:bCs/>
          <w:color w:val="auto"/>
          <w:sz w:val="24"/>
          <w:szCs w:val="24"/>
          <w:highlight w:val="none"/>
          <w:u w:val="single"/>
        </w:rPr>
        <w:t>月</w:t>
      </w:r>
      <w:r>
        <w:rPr>
          <w:rFonts w:hint="eastAsia" w:ascii="方正仿宋_GB2312" w:hAnsi="方正仿宋_GB2312" w:eastAsia="方正仿宋_GB2312" w:cs="方正仿宋_GB2312"/>
          <w:bCs/>
          <w:color w:val="auto"/>
          <w:sz w:val="24"/>
          <w:szCs w:val="24"/>
          <w:highlight w:val="none"/>
          <w:u w:val="single"/>
          <w:lang w:val="en-US" w:eastAsia="zh-CN"/>
        </w:rPr>
        <w:t>13</w:t>
      </w:r>
      <w:r>
        <w:rPr>
          <w:rFonts w:hint="eastAsia" w:ascii="方正仿宋_GB2312" w:hAnsi="方正仿宋_GB2312" w:eastAsia="方正仿宋_GB2312" w:cs="方正仿宋_GB2312"/>
          <w:bCs/>
          <w:color w:val="auto"/>
          <w:sz w:val="24"/>
          <w:szCs w:val="24"/>
          <w:highlight w:val="none"/>
          <w:u w:val="single"/>
        </w:rPr>
        <w:t>日9点30分（</w:t>
      </w:r>
      <w:r>
        <w:rPr>
          <w:rFonts w:hint="eastAsia" w:ascii="方正仿宋_GB2312" w:hAnsi="方正仿宋_GB2312" w:eastAsia="方正仿宋_GB2312" w:cs="方正仿宋_GB2312"/>
          <w:bCs/>
          <w:color w:val="auto"/>
          <w:sz w:val="24"/>
          <w:szCs w:val="24"/>
          <w:highlight w:val="none"/>
        </w:rPr>
        <w:t>北京时间）前递交投标文件</w:t>
      </w:r>
      <w:r>
        <w:rPr>
          <w:rFonts w:hint="eastAsia" w:ascii="方正仿宋_GB2312" w:hAnsi="方正仿宋_GB2312" w:eastAsia="方正仿宋_GB2312" w:cs="方正仿宋_GB2312"/>
          <w:color w:val="auto"/>
          <w:sz w:val="24"/>
          <w:szCs w:val="24"/>
          <w:highlight w:val="none"/>
        </w:rPr>
        <w:t>。</w:t>
      </w:r>
    </w:p>
    <w:p w14:paraId="27690547">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7" w:name="_Toc28359079"/>
      <w:bookmarkStart w:id="8" w:name="_Toc2584"/>
      <w:bookmarkStart w:id="9" w:name="_Toc35393790"/>
      <w:bookmarkStart w:id="10" w:name="_Toc28359002"/>
      <w:bookmarkStart w:id="11" w:name="_Toc38985263"/>
      <w:bookmarkStart w:id="12" w:name="_Toc35393621"/>
      <w:bookmarkStart w:id="13" w:name="_Hlk24379207"/>
      <w:r>
        <w:rPr>
          <w:rFonts w:hint="eastAsia" w:ascii="方正仿宋_GB2312" w:hAnsi="方正仿宋_GB2312" w:eastAsia="方正仿宋_GB2312" w:cs="方正仿宋_GB2312"/>
          <w:bCs/>
          <w:color w:val="auto"/>
          <w:szCs w:val="22"/>
          <w:highlight w:val="none"/>
        </w:rPr>
        <w:t>一、项目基本情况</w:t>
      </w:r>
      <w:bookmarkEnd w:id="7"/>
      <w:bookmarkEnd w:id="8"/>
      <w:bookmarkEnd w:id="9"/>
      <w:bookmarkEnd w:id="10"/>
      <w:bookmarkEnd w:id="11"/>
      <w:bookmarkEnd w:id="12"/>
    </w:p>
    <w:p w14:paraId="0357E9B7">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1.项目编号：</w:t>
      </w:r>
      <w:r>
        <w:rPr>
          <w:rFonts w:hint="eastAsia" w:ascii="方正仿宋_GB2312" w:hAnsi="方正仿宋_GB2312" w:eastAsia="方正仿宋_GB2312" w:cs="方正仿宋_GB2312"/>
          <w:color w:val="auto"/>
          <w:sz w:val="24"/>
          <w:szCs w:val="24"/>
          <w:highlight w:val="none"/>
          <w:lang w:eastAsia="zh-CN"/>
        </w:rPr>
        <w:t>JSZC-321300-HZJS-G2026-0011</w:t>
      </w:r>
    </w:p>
    <w:p w14:paraId="7AA8FBFA">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2.项目名称：</w:t>
      </w:r>
      <w:bookmarkEnd w:id="13"/>
      <w:r>
        <w:rPr>
          <w:rFonts w:hint="eastAsia" w:ascii="方正仿宋_GB2312" w:hAnsi="方正仿宋_GB2312" w:eastAsia="方正仿宋_GB2312" w:cs="方正仿宋_GB2312"/>
          <w:color w:val="auto"/>
          <w:sz w:val="24"/>
          <w:szCs w:val="24"/>
          <w:highlight w:val="none"/>
          <w:lang w:eastAsia="zh-CN"/>
        </w:rPr>
        <w:t>三重四极杆质谱仪采购</w:t>
      </w:r>
    </w:p>
    <w:p w14:paraId="09577D4A">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3.预算金额：</w:t>
      </w:r>
      <w:r>
        <w:rPr>
          <w:rFonts w:hint="eastAsia" w:ascii="方正仿宋_GB2312" w:hAnsi="方正仿宋_GB2312" w:eastAsia="方正仿宋_GB2312" w:cs="方正仿宋_GB2312"/>
          <w:color w:val="auto"/>
          <w:sz w:val="24"/>
          <w:szCs w:val="24"/>
          <w:highlight w:val="none"/>
          <w:lang w:eastAsia="zh-CN"/>
        </w:rPr>
        <w:t>300万元</w:t>
      </w:r>
    </w:p>
    <w:p w14:paraId="4FF9535B">
      <w:pPr>
        <w:spacing w:line="480" w:lineRule="exact"/>
        <w:ind w:firstLine="480" w:firstLineChars="200"/>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4.本项目设定最高限价，最高限价</w:t>
      </w:r>
      <w:bookmarkStart w:id="14" w:name="EB6c1f3d39c6914ae1bada8ccaa777b37a"/>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highlight w:val="none"/>
          <w:lang w:eastAsia="zh-CN"/>
        </w:rPr>
        <w:t>300万元</w:t>
      </w:r>
    </w:p>
    <w:bookmarkEnd w:id="14"/>
    <w:p w14:paraId="48DB652D">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5.采购需求（简介）：</w:t>
      </w:r>
      <w:r>
        <w:rPr>
          <w:rFonts w:hint="eastAsia" w:ascii="方正仿宋_GB2312" w:hAnsi="方正仿宋_GB2312" w:eastAsia="方正仿宋_GB2312" w:cs="方正仿宋_GB2312"/>
          <w:color w:val="auto"/>
          <w:sz w:val="24"/>
          <w:szCs w:val="24"/>
          <w:highlight w:val="none"/>
          <w:lang w:eastAsia="zh-CN"/>
        </w:rPr>
        <w:t>三重四极杆质谱仪采购</w:t>
      </w:r>
      <w:r>
        <w:rPr>
          <w:rFonts w:hint="eastAsia" w:ascii="方正仿宋_GB2312" w:hAnsi="方正仿宋_GB2312" w:eastAsia="方正仿宋_GB2312" w:cs="方正仿宋_GB2312"/>
          <w:color w:val="auto"/>
          <w:sz w:val="24"/>
          <w:szCs w:val="24"/>
          <w:highlight w:val="none"/>
        </w:rPr>
        <w:t>，详见第四章采购需求。</w:t>
      </w:r>
    </w:p>
    <w:p w14:paraId="1D11DD87">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6.合同履行期限：</w:t>
      </w:r>
      <w:r>
        <w:rPr>
          <w:rFonts w:hint="eastAsia" w:ascii="方正仿宋_GB2312" w:hAnsi="方正仿宋_GB2312" w:eastAsia="方正仿宋_GB2312" w:cs="方正仿宋_GB2312"/>
          <w:color w:val="auto"/>
          <w:sz w:val="24"/>
          <w:szCs w:val="24"/>
          <w:highlight w:val="none"/>
          <w:lang w:eastAsia="zh-CN"/>
        </w:rPr>
        <w:t>合同签订后30日历天完成供货并安装调试完毕</w:t>
      </w:r>
      <w:r>
        <w:rPr>
          <w:rFonts w:hint="eastAsia" w:ascii="方正仿宋_GB2312" w:hAnsi="方正仿宋_GB2312" w:eastAsia="方正仿宋_GB2312" w:cs="方正仿宋_GB2312"/>
          <w:color w:val="auto"/>
          <w:sz w:val="24"/>
          <w:szCs w:val="24"/>
          <w:highlight w:val="none"/>
        </w:rPr>
        <w:t>。</w:t>
      </w:r>
    </w:p>
    <w:p w14:paraId="40F98F30">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7.本项目</w:t>
      </w:r>
      <w:r>
        <w:rPr>
          <w:rFonts w:hint="eastAsia" w:ascii="方正仿宋_GB2312" w:hAnsi="方正仿宋_GB2312" w:eastAsia="方正仿宋_GB2312" w:cs="方正仿宋_GB2312"/>
          <w:color w:val="auto"/>
          <w:sz w:val="24"/>
          <w:szCs w:val="24"/>
          <w:highlight w:val="none"/>
          <w:u w:val="single"/>
        </w:rPr>
        <w:t>不接受</w:t>
      </w:r>
      <w:r>
        <w:rPr>
          <w:rFonts w:hint="eastAsia" w:ascii="方正仿宋_GB2312" w:hAnsi="方正仿宋_GB2312" w:eastAsia="方正仿宋_GB2312" w:cs="方正仿宋_GB2312"/>
          <w:color w:val="auto"/>
          <w:sz w:val="24"/>
          <w:szCs w:val="24"/>
          <w:highlight w:val="none"/>
        </w:rPr>
        <w:t>联合体投标。</w:t>
      </w:r>
    </w:p>
    <w:p w14:paraId="1915FE54">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15" w:name="_Toc38985264"/>
      <w:bookmarkStart w:id="16" w:name="_Toc28359080"/>
      <w:bookmarkStart w:id="17" w:name="_Toc35393791"/>
      <w:bookmarkStart w:id="18" w:name="_Toc28359003"/>
      <w:bookmarkStart w:id="19" w:name="_Toc27291"/>
      <w:bookmarkStart w:id="20" w:name="_Toc35393622"/>
      <w:r>
        <w:rPr>
          <w:rFonts w:hint="eastAsia" w:ascii="方正仿宋_GB2312" w:hAnsi="方正仿宋_GB2312" w:eastAsia="方正仿宋_GB2312" w:cs="方正仿宋_GB2312"/>
          <w:bCs/>
          <w:color w:val="auto"/>
          <w:szCs w:val="22"/>
          <w:highlight w:val="none"/>
        </w:rPr>
        <w:t>二、申请人的资格要求</w:t>
      </w:r>
      <w:bookmarkEnd w:id="15"/>
      <w:bookmarkEnd w:id="16"/>
      <w:bookmarkEnd w:id="17"/>
      <w:bookmarkEnd w:id="18"/>
      <w:bookmarkEnd w:id="19"/>
      <w:bookmarkEnd w:id="20"/>
    </w:p>
    <w:p w14:paraId="376DF562">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21" w:name="_Toc35393792"/>
      <w:bookmarkStart w:id="22" w:name="_Toc35393623"/>
      <w:bookmarkStart w:id="23" w:name="_Toc28359004"/>
      <w:bookmarkStart w:id="24" w:name="_Toc28359081"/>
      <w:bookmarkStart w:id="25" w:name="_Toc38985265"/>
      <w:r>
        <w:rPr>
          <w:rFonts w:hint="eastAsia" w:ascii="方正仿宋_GB2312" w:hAnsi="方正仿宋_GB2312" w:eastAsia="方正仿宋_GB2312" w:cs="方正仿宋_GB2312"/>
          <w:color w:val="auto"/>
          <w:sz w:val="24"/>
          <w:szCs w:val="24"/>
          <w:highlight w:val="none"/>
        </w:rPr>
        <w:t>（一）通用资格要求</w:t>
      </w:r>
    </w:p>
    <w:p w14:paraId="1697E80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1.具备《中华人民共和国政府采购法》第二十二条第一款规定的6项条件（按要求提供投标函）。</w:t>
      </w:r>
    </w:p>
    <w:p w14:paraId="60BB5DD4">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0F1461C2">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3.落实政府采购政策需满足的资格要求：无</w:t>
      </w:r>
      <w:r>
        <w:rPr>
          <w:rFonts w:hint="eastAsia" w:ascii="方正仿宋_GB2312" w:hAnsi="方正仿宋_GB2312" w:eastAsia="方正仿宋_GB2312" w:cs="方正仿宋_GB2312"/>
          <w:color w:val="auto"/>
          <w:sz w:val="24"/>
          <w:szCs w:val="24"/>
          <w:highlight w:val="none"/>
          <w:lang w:eastAsia="zh-CN"/>
        </w:rPr>
        <w:t>。</w:t>
      </w:r>
    </w:p>
    <w:p w14:paraId="3991E33C">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（二）本项目的特定资格要求：</w:t>
      </w:r>
      <w:r>
        <w:rPr>
          <w:rFonts w:hint="eastAsia" w:ascii="方正仿宋_GB2312" w:hAnsi="方正仿宋_GB2312" w:eastAsia="方正仿宋_GB2312" w:cs="方正仿宋_GB2312"/>
          <w:color w:val="auto"/>
          <w:sz w:val="24"/>
          <w:szCs w:val="24"/>
          <w:highlight w:val="none"/>
          <w:lang w:val="en-US" w:eastAsia="zh-CN"/>
        </w:rPr>
        <w:t>无</w:t>
      </w:r>
      <w:r>
        <w:rPr>
          <w:rFonts w:hint="eastAsia" w:ascii="方正仿宋_GB2312" w:hAnsi="方正仿宋_GB2312" w:eastAsia="方正仿宋_GB2312" w:cs="方正仿宋_GB2312"/>
          <w:color w:val="auto"/>
          <w:sz w:val="24"/>
          <w:szCs w:val="24"/>
          <w:highlight w:val="none"/>
        </w:rPr>
        <w:t>。</w:t>
      </w:r>
    </w:p>
    <w:p w14:paraId="3419252D">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26" w:name="_Toc22204"/>
      <w:r>
        <w:rPr>
          <w:rFonts w:hint="eastAsia" w:ascii="方正仿宋_GB2312" w:hAnsi="方正仿宋_GB2312" w:eastAsia="方正仿宋_GB2312" w:cs="方正仿宋_GB2312"/>
          <w:bCs/>
          <w:color w:val="auto"/>
          <w:szCs w:val="22"/>
          <w:highlight w:val="none"/>
        </w:rPr>
        <w:t>三、获取招标文件</w:t>
      </w:r>
      <w:bookmarkEnd w:id="21"/>
      <w:bookmarkEnd w:id="22"/>
      <w:bookmarkEnd w:id="23"/>
      <w:bookmarkEnd w:id="24"/>
      <w:bookmarkEnd w:id="25"/>
      <w:bookmarkEnd w:id="26"/>
    </w:p>
    <w:p w14:paraId="0D8C2C8C">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27" w:name="_Toc28359005"/>
      <w:bookmarkStart w:id="28" w:name="_Toc28359082"/>
      <w:bookmarkStart w:id="29" w:name="_Toc35393624"/>
      <w:bookmarkStart w:id="30" w:name="_Toc35393793"/>
      <w:bookmarkStart w:id="31" w:name="_Toc38985266"/>
      <w:r>
        <w:rPr>
          <w:rFonts w:hint="eastAsia" w:ascii="方正仿宋_GB2312" w:hAnsi="方正仿宋_GB2312" w:eastAsia="方正仿宋_GB2312" w:cs="方正仿宋_GB2312"/>
          <w:color w:val="auto"/>
          <w:sz w:val="24"/>
          <w:szCs w:val="24"/>
          <w:highlight w:val="none"/>
        </w:rPr>
        <w:t>1.时间：招标公告发布之日起5个工作日。</w:t>
      </w:r>
    </w:p>
    <w:p w14:paraId="39BD2916">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2.方式：投标人应在招标文件提供的时间内，通过“苏采云”系统（网址： http://jszfcg.jsczt.cn/），使用CA锁登录系统后，找到本项目获取招标文件（后缀名为“.kedt”）。</w:t>
      </w:r>
    </w:p>
    <w:p w14:paraId="698C86F7">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32" w:name="EB0c44ff4da61f4af989d119fe214be450"/>
      <w:r>
        <w:rPr>
          <w:rFonts w:hint="eastAsia" w:ascii="方正仿宋_GB2312" w:hAnsi="方正仿宋_GB2312" w:eastAsia="方正仿宋_GB2312" w:cs="方正仿宋_GB2312"/>
          <w:color w:val="auto"/>
          <w:sz w:val="24"/>
          <w:szCs w:val="24"/>
          <w:highlight w:val="none"/>
        </w:rPr>
        <w:t>3.本项目共分一个采购包。投标人未按要求获取招标文件，后果自负（其投标文件不予接受）。</w:t>
      </w:r>
      <w:bookmarkEnd w:id="32"/>
    </w:p>
    <w:p w14:paraId="7DEAEBD2">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33" w:name="_Toc19148"/>
      <w:r>
        <w:rPr>
          <w:rFonts w:hint="eastAsia" w:ascii="方正仿宋_GB2312" w:hAnsi="方正仿宋_GB2312" w:eastAsia="方正仿宋_GB2312" w:cs="方正仿宋_GB2312"/>
          <w:bCs/>
          <w:color w:val="auto"/>
          <w:szCs w:val="22"/>
          <w:highlight w:val="none"/>
        </w:rPr>
        <w:t>四、提交投标文件</w:t>
      </w:r>
      <w:bookmarkEnd w:id="27"/>
      <w:bookmarkEnd w:id="28"/>
      <w:r>
        <w:rPr>
          <w:rFonts w:hint="eastAsia" w:ascii="方正仿宋_GB2312" w:hAnsi="方正仿宋_GB2312" w:eastAsia="方正仿宋_GB2312" w:cs="方正仿宋_GB2312"/>
          <w:bCs/>
          <w:color w:val="auto"/>
          <w:szCs w:val="22"/>
          <w:highlight w:val="none"/>
        </w:rPr>
        <w:t>截止时间、开标时间和地点</w:t>
      </w:r>
      <w:bookmarkEnd w:id="29"/>
      <w:bookmarkEnd w:id="30"/>
      <w:bookmarkEnd w:id="31"/>
      <w:bookmarkEnd w:id="33"/>
    </w:p>
    <w:p w14:paraId="2E25B85A">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1.提交投标文件截止时间、开标时间：2026年</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lang w:val="en-US" w:eastAsia="zh-CN"/>
        </w:rPr>
        <w:t>13</w:t>
      </w:r>
      <w:r>
        <w:rPr>
          <w:rFonts w:hint="eastAsia" w:ascii="方正仿宋_GB2312" w:hAnsi="方正仿宋_GB2312" w:eastAsia="方正仿宋_GB2312" w:cs="方正仿宋_GB2312"/>
          <w:color w:val="auto"/>
          <w:sz w:val="24"/>
          <w:szCs w:val="24"/>
          <w:highlight w:val="none"/>
        </w:rPr>
        <w:t>日9点30分（北京时间）</w:t>
      </w:r>
    </w:p>
    <w:p w14:paraId="43392ABB">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2.地点：“苏采云”政府采购交易系统网上开标大厅。</w:t>
      </w:r>
    </w:p>
    <w:p w14:paraId="2A4F7AB3">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34" w:name="_Toc35393794"/>
      <w:bookmarkStart w:id="35" w:name="_Toc35393625"/>
      <w:bookmarkStart w:id="36" w:name="_Toc38985267"/>
      <w:bookmarkStart w:id="37" w:name="_Toc28359084"/>
      <w:bookmarkStart w:id="38" w:name="_Toc28359007"/>
      <w:bookmarkStart w:id="39" w:name="_Toc24820"/>
      <w:r>
        <w:rPr>
          <w:rFonts w:hint="eastAsia" w:ascii="方正仿宋_GB2312" w:hAnsi="方正仿宋_GB2312" w:eastAsia="方正仿宋_GB2312" w:cs="方正仿宋_GB2312"/>
          <w:bCs/>
          <w:color w:val="auto"/>
          <w:szCs w:val="22"/>
          <w:highlight w:val="none"/>
        </w:rPr>
        <w:t>五、公告期限</w:t>
      </w:r>
      <w:bookmarkEnd w:id="34"/>
      <w:bookmarkEnd w:id="35"/>
      <w:bookmarkEnd w:id="36"/>
      <w:bookmarkEnd w:id="37"/>
      <w:bookmarkEnd w:id="38"/>
      <w:bookmarkEnd w:id="39"/>
    </w:p>
    <w:p w14:paraId="3FC34EE6">
      <w:pPr>
        <w:spacing w:line="480" w:lineRule="exact"/>
        <w:ind w:firstLine="480" w:firstLineChars="200"/>
        <w:rPr>
          <w:rFonts w:hint="eastAsia" w:ascii="方正仿宋_GB2312" w:hAnsi="方正仿宋_GB2312" w:eastAsia="方正仿宋_GB2312" w:cs="方正仿宋_GB2312"/>
          <w:color w:val="auto"/>
          <w:sz w:val="24"/>
          <w:szCs w:val="24"/>
          <w:highlight w:val="none"/>
        </w:rPr>
      </w:pPr>
      <w:bookmarkStart w:id="40" w:name="_Toc35393795"/>
      <w:bookmarkStart w:id="41" w:name="_Toc35393626"/>
      <w:bookmarkStart w:id="42" w:name="_Toc38985268"/>
      <w:r>
        <w:rPr>
          <w:rFonts w:hint="eastAsia" w:ascii="方正仿宋_GB2312" w:hAnsi="方正仿宋_GB2312" w:eastAsia="方正仿宋_GB2312" w:cs="方正仿宋_GB2312"/>
          <w:color w:val="auto"/>
          <w:sz w:val="24"/>
          <w:szCs w:val="24"/>
          <w:highlight w:val="none"/>
        </w:rPr>
        <w:t>招标公告及招标文件公告期限为自本公告发布之日起5个工作日。</w:t>
      </w:r>
    </w:p>
    <w:p w14:paraId="10C4DE3E">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bookmarkStart w:id="43" w:name="_Toc13415"/>
      <w:r>
        <w:rPr>
          <w:rFonts w:hint="eastAsia" w:ascii="方正仿宋_GB2312" w:hAnsi="方正仿宋_GB2312" w:eastAsia="方正仿宋_GB2312" w:cs="方正仿宋_GB2312"/>
          <w:bCs/>
          <w:color w:val="auto"/>
          <w:szCs w:val="22"/>
          <w:highlight w:val="none"/>
        </w:rPr>
        <w:t>六、其他补充事宜</w:t>
      </w:r>
      <w:bookmarkEnd w:id="40"/>
      <w:bookmarkEnd w:id="41"/>
      <w:bookmarkEnd w:id="42"/>
      <w:bookmarkEnd w:id="43"/>
    </w:p>
    <w:p w14:paraId="01275C78">
      <w:pPr>
        <w:spacing w:line="480" w:lineRule="exact"/>
        <w:ind w:firstLine="480"/>
        <w:rPr>
          <w:rFonts w:hint="eastAsia" w:ascii="方正仿宋_GB2312" w:hAnsi="方正仿宋_GB2312" w:eastAsia="方正仿宋_GB2312" w:cs="方正仿宋_GB2312"/>
          <w:color w:val="auto"/>
          <w:sz w:val="24"/>
          <w:szCs w:val="24"/>
          <w:highlight w:val="none"/>
        </w:rPr>
      </w:pPr>
      <w:bookmarkStart w:id="44" w:name="EB64e1f522fd8c43fcb4d3ba471386b3e7"/>
      <w:bookmarkStart w:id="45" w:name="_Toc35393796"/>
      <w:bookmarkStart w:id="46" w:name="_Toc28359008"/>
      <w:bookmarkStart w:id="47" w:name="_Toc28359085"/>
      <w:bookmarkStart w:id="48" w:name="_Toc29049"/>
      <w:bookmarkStart w:id="49" w:name="_Toc38985269"/>
      <w:bookmarkStart w:id="50" w:name="_Toc35393627"/>
      <w:r>
        <w:rPr>
          <w:rFonts w:hint="eastAsia" w:ascii="方正仿宋_GB2312" w:hAnsi="方正仿宋_GB2312" w:eastAsia="方正仿宋_GB2312" w:cs="方正仿宋_GB2312"/>
          <w:color w:val="auto"/>
          <w:sz w:val="24"/>
          <w:szCs w:val="24"/>
          <w:highlight w:val="none"/>
        </w:rPr>
        <w:t>1.招标公告发布媒体：</w:t>
      </w:r>
      <w:bookmarkStart w:id="51" w:name="OLE_LINK3"/>
      <w:r>
        <w:rPr>
          <w:rFonts w:hint="eastAsia" w:ascii="方正仿宋_GB2312" w:hAnsi="方正仿宋_GB2312" w:eastAsia="方正仿宋_GB2312" w:cs="方正仿宋_GB2312"/>
          <w:color w:val="auto"/>
          <w:sz w:val="24"/>
          <w:szCs w:val="24"/>
          <w:highlight w:val="none"/>
        </w:rPr>
        <w:t>江苏政府采购网</w:t>
      </w:r>
      <w:bookmarkEnd w:id="51"/>
      <w:r>
        <w:rPr>
          <w:rFonts w:hint="eastAsia" w:ascii="方正仿宋_GB2312" w:hAnsi="方正仿宋_GB2312" w:eastAsia="方正仿宋_GB2312" w:cs="方正仿宋_GB2312"/>
          <w:color w:val="auto"/>
          <w:sz w:val="24"/>
          <w:szCs w:val="24"/>
          <w:highlight w:val="none"/>
        </w:rPr>
        <w:t>、宿迁市政府采购网等。</w:t>
      </w:r>
    </w:p>
    <w:p w14:paraId="5C32398C">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2.“CA”数字证书办理：“苏采云”系统目前仅支持“苏采云”系统下的意源CA。省内各地区办理的“苏采云”系统下的意源CA全省通用。宿迁地区CA数字证书办理联系方式：</w:t>
      </w:r>
      <w:r>
        <w:rPr>
          <w:rFonts w:hint="eastAsia" w:ascii="方正仿宋_GB2312" w:hAnsi="方正仿宋_GB2312" w:eastAsia="方正仿宋_GB2312" w:cs="方正仿宋_GB2312"/>
          <w:color w:val="auto"/>
          <w:sz w:val="24"/>
          <w:szCs w:val="24"/>
          <w:highlight w:val="none"/>
          <w:lang w:val="en-US" w:eastAsia="zh-CN"/>
        </w:rPr>
        <w:t>18351098172</w:t>
      </w:r>
      <w:r>
        <w:rPr>
          <w:rFonts w:hint="eastAsia" w:ascii="方正仿宋_GB2312" w:hAnsi="方正仿宋_GB2312" w:eastAsia="方正仿宋_GB2312" w:cs="方正仿宋_GB2312"/>
          <w:color w:val="auto"/>
          <w:sz w:val="24"/>
          <w:szCs w:val="24"/>
          <w:highlight w:val="none"/>
        </w:rPr>
        <w:t>。</w:t>
      </w:r>
    </w:p>
    <w:p w14:paraId="50A8BFD9">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3.宿迁地区“苏采云”系统技术支持客服电话：0527-84363067、0519-86722806。</w:t>
      </w:r>
      <w:bookmarkEnd w:id="44"/>
    </w:p>
    <w:p w14:paraId="50D1811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color w:val="auto"/>
          <w:sz w:val="24"/>
          <w:highlight w:val="none"/>
        </w:rPr>
        <w:t>质疑渠道：投标人登录“苏采云”系统“项目质疑申请”模块向采购人提出，质疑处理联系方式详见“采购人信息”；</w:t>
      </w:r>
      <w:r>
        <w:rPr>
          <w:rFonts w:hint="eastAsia" w:ascii="方正仿宋_GB2312" w:hAnsi="方正仿宋_GB2312" w:eastAsia="方正仿宋_GB2312" w:cs="方正仿宋_GB2312"/>
          <w:color w:val="auto"/>
          <w:sz w:val="24"/>
          <w:szCs w:val="24"/>
          <w:highlight w:val="none"/>
        </w:rPr>
        <w:t>财政部门投诉受理电话：0527-84363063。</w:t>
      </w:r>
    </w:p>
    <w:p w14:paraId="7E51853A">
      <w:pPr>
        <w:pStyle w:val="3"/>
        <w:spacing w:before="0" w:after="0" w:line="480" w:lineRule="exact"/>
        <w:ind w:firstLine="643" w:firstLineChars="2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七、本次招标联系方式</w:t>
      </w:r>
      <w:bookmarkEnd w:id="45"/>
      <w:bookmarkEnd w:id="46"/>
      <w:bookmarkEnd w:id="47"/>
      <w:bookmarkEnd w:id="48"/>
      <w:bookmarkEnd w:id="49"/>
      <w:bookmarkEnd w:id="50"/>
    </w:p>
    <w:p w14:paraId="3CB3635D">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1.采购人信息</w:t>
      </w:r>
    </w:p>
    <w:p w14:paraId="4740C613">
      <w:pPr>
        <w:spacing w:line="480" w:lineRule="exact"/>
        <w:ind w:firstLine="480" w:firstLineChars="200"/>
        <w:rPr>
          <w:rFonts w:hint="eastAsia" w:ascii="方正仿宋_GB2312" w:hAnsi="方正仿宋_GB2312" w:eastAsia="方正仿宋_GB2312" w:cs="方正仿宋_GB2312"/>
          <w:color w:val="auto"/>
          <w:sz w:val="24"/>
          <w:szCs w:val="24"/>
          <w:highlight w:val="none"/>
          <w:lang w:eastAsia="zh-CN"/>
        </w:rPr>
      </w:pPr>
      <w:bookmarkStart w:id="52" w:name="_Toc28359009"/>
      <w:bookmarkStart w:id="53" w:name="_Toc28359086"/>
      <w:r>
        <w:rPr>
          <w:rFonts w:hint="eastAsia" w:ascii="方正仿宋_GB2312" w:hAnsi="方正仿宋_GB2312" w:eastAsia="方正仿宋_GB2312" w:cs="方正仿宋_GB2312"/>
          <w:color w:val="auto"/>
          <w:sz w:val="24"/>
          <w:szCs w:val="24"/>
          <w:highlight w:val="none"/>
        </w:rPr>
        <w:t>名称：</w:t>
      </w:r>
      <w:r>
        <w:rPr>
          <w:rFonts w:hint="eastAsia" w:ascii="方正仿宋_GB2312" w:hAnsi="方正仿宋_GB2312" w:eastAsia="方正仿宋_GB2312" w:cs="方正仿宋_GB2312"/>
          <w:color w:val="auto"/>
          <w:sz w:val="24"/>
          <w:szCs w:val="24"/>
          <w:highlight w:val="none"/>
          <w:lang w:eastAsia="zh-CN"/>
        </w:rPr>
        <w:t>宿迁市疾病预防控制中心</w:t>
      </w:r>
    </w:p>
    <w:p w14:paraId="20F25FA2">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地址：江苏省宿迁市宿城区人民大道8号</w:t>
      </w:r>
    </w:p>
    <w:p w14:paraId="6CFF1B4B">
      <w:pPr>
        <w:spacing w:line="480" w:lineRule="exact"/>
        <w:ind w:firstLine="480" w:firstLineChars="200"/>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联系人：卢培培</w:t>
      </w:r>
    </w:p>
    <w:p w14:paraId="1CCA54C6">
      <w:pPr>
        <w:spacing w:line="480" w:lineRule="exact"/>
        <w:ind w:firstLine="480" w:firstLineChars="200"/>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联系方式：</w:t>
      </w:r>
      <w:r>
        <w:rPr>
          <w:rFonts w:hint="eastAsia" w:ascii="方正仿宋_GB2312" w:hAnsi="方正仿宋_GB2312" w:eastAsia="方正仿宋_GB2312" w:cs="方正仿宋_GB2312"/>
          <w:color w:val="auto"/>
          <w:sz w:val="24"/>
          <w:szCs w:val="24"/>
          <w:highlight w:val="none"/>
          <w:lang w:val="en-US" w:eastAsia="zh-CN"/>
        </w:rPr>
        <w:t>0527-84389350</w:t>
      </w:r>
    </w:p>
    <w:p w14:paraId="6D817F2D">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2.采购代理机构信息</w:t>
      </w:r>
      <w:bookmarkEnd w:id="52"/>
      <w:bookmarkEnd w:id="53"/>
    </w:p>
    <w:p w14:paraId="336277FE">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名称：江苏宏壮工程项目管理有限公司</w:t>
      </w:r>
    </w:p>
    <w:p w14:paraId="489CA13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地址：宿迁市宿城区中港雅典城A2#铺03</w:t>
      </w:r>
    </w:p>
    <w:p w14:paraId="5DE0F2D8">
      <w:pPr>
        <w:spacing w:line="480" w:lineRule="exact"/>
        <w:ind w:firstLine="480" w:firstLineChars="200"/>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联系人：许益</w:t>
      </w:r>
    </w:p>
    <w:p w14:paraId="4D23A835">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联系方式：0527-84227585</w:t>
      </w:r>
    </w:p>
    <w:p w14:paraId="4ACA342F">
      <w:pPr>
        <w:spacing w:line="480" w:lineRule="exact"/>
        <w:ind w:firstLine="480" w:firstLineChars="200"/>
        <w:jc w:val="center"/>
        <w:outlineLvl w:val="0"/>
        <w:rPr>
          <w:rFonts w:hint="eastAsia" w:ascii="方正仿宋_GB2312" w:hAnsi="方正仿宋_GB2312" w:eastAsia="方正仿宋_GB2312" w:cs="方正仿宋_GB2312"/>
          <w:color w:val="auto"/>
          <w:sz w:val="44"/>
          <w:highlight w:val="none"/>
        </w:rPr>
      </w:pPr>
      <w:r>
        <w:rPr>
          <w:rFonts w:hint="eastAsia" w:ascii="方正仿宋_GB2312" w:hAnsi="方正仿宋_GB2312" w:eastAsia="方正仿宋_GB2312" w:cs="方正仿宋_GB2312"/>
          <w:color w:val="auto"/>
          <w:sz w:val="24"/>
          <w:highlight w:val="none"/>
        </w:rPr>
        <w:br w:type="page"/>
      </w:r>
      <w:bookmarkStart w:id="54" w:name="_Toc81575190"/>
      <w:bookmarkStart w:id="55" w:name="_Toc15265"/>
      <w:bookmarkStart w:id="56" w:name="_Toc6229"/>
      <w:bookmarkStart w:id="57" w:name="_Toc81575153"/>
      <w:bookmarkStart w:id="58" w:name="_Toc11687"/>
      <w:r>
        <w:rPr>
          <w:rFonts w:hint="eastAsia" w:ascii="方正仿宋_GB2312" w:hAnsi="方正仿宋_GB2312" w:eastAsia="方正仿宋_GB2312" w:cs="方正仿宋_GB2312"/>
          <w:b/>
          <w:bCs/>
          <w:color w:val="auto"/>
          <w:sz w:val="44"/>
          <w:highlight w:val="none"/>
        </w:rPr>
        <w:t>第二章  投标人须知</w:t>
      </w:r>
      <w:bookmarkEnd w:id="54"/>
      <w:bookmarkEnd w:id="55"/>
      <w:bookmarkEnd w:id="56"/>
      <w:bookmarkEnd w:id="57"/>
      <w:bookmarkEnd w:id="58"/>
    </w:p>
    <w:p w14:paraId="397E666A">
      <w:pPr>
        <w:pStyle w:val="3"/>
        <w:spacing w:before="0" w:after="120" w:line="520" w:lineRule="exact"/>
        <w:rPr>
          <w:rFonts w:hint="eastAsia" w:ascii="方正仿宋_GB2312" w:hAnsi="方正仿宋_GB2312" w:eastAsia="方正仿宋_GB2312" w:cs="方正仿宋_GB2312"/>
          <w:bCs/>
          <w:color w:val="auto"/>
          <w:szCs w:val="22"/>
          <w:highlight w:val="none"/>
        </w:rPr>
      </w:pPr>
      <w:bookmarkStart w:id="59" w:name="_Toc4529"/>
      <w:r>
        <w:rPr>
          <w:rFonts w:hint="eastAsia" w:ascii="方正仿宋_GB2312" w:hAnsi="方正仿宋_GB2312" w:eastAsia="方正仿宋_GB2312" w:cs="方正仿宋_GB2312"/>
          <w:bCs/>
          <w:color w:val="auto"/>
          <w:szCs w:val="22"/>
          <w:highlight w:val="none"/>
        </w:rPr>
        <w:t>投标人须知前附表：</w:t>
      </w:r>
      <w:bookmarkEnd w:id="59"/>
    </w:p>
    <w:tbl>
      <w:tblPr>
        <w:tblStyle w:val="55"/>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72"/>
        <w:gridCol w:w="6579"/>
      </w:tblGrid>
      <w:tr w14:paraId="2C142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vAlign w:val="center"/>
          </w:tcPr>
          <w:p w14:paraId="76EC4593">
            <w:pPr>
              <w:jc w:val="center"/>
              <w:rPr>
                <w:rFonts w:hint="eastAsia" w:ascii="方正仿宋_GB2312" w:hAnsi="方正仿宋_GB2312" w:eastAsia="方正仿宋_GB2312" w:cs="方正仿宋_GB2312"/>
                <w:b/>
                <w:color w:val="auto"/>
                <w:sz w:val="24"/>
                <w:szCs w:val="24"/>
                <w:highlight w:val="none"/>
              </w:rPr>
            </w:pPr>
            <w:bookmarkStart w:id="60" w:name="_Toc29262"/>
            <w:bookmarkStart w:id="61" w:name="_Toc81575191"/>
            <w:bookmarkStart w:id="62" w:name="_Toc81575154"/>
            <w:r>
              <w:rPr>
                <w:rFonts w:hint="eastAsia" w:ascii="方正仿宋_GB2312" w:hAnsi="方正仿宋_GB2312" w:eastAsia="方正仿宋_GB2312" w:cs="方正仿宋_GB2312"/>
                <w:b/>
                <w:color w:val="auto"/>
                <w:sz w:val="24"/>
                <w:szCs w:val="24"/>
                <w:highlight w:val="none"/>
              </w:rPr>
              <w:t>序号</w:t>
            </w:r>
          </w:p>
        </w:tc>
        <w:tc>
          <w:tcPr>
            <w:tcW w:w="1772" w:type="dxa"/>
            <w:tcBorders>
              <w:top w:val="single" w:color="auto" w:sz="4" w:space="0"/>
              <w:left w:val="nil"/>
              <w:bottom w:val="single" w:color="auto" w:sz="4" w:space="0"/>
              <w:right w:val="single" w:color="auto" w:sz="4" w:space="0"/>
            </w:tcBorders>
            <w:vAlign w:val="center"/>
          </w:tcPr>
          <w:p w14:paraId="31AB2AEC">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内容</w:t>
            </w:r>
          </w:p>
        </w:tc>
        <w:tc>
          <w:tcPr>
            <w:tcW w:w="6579" w:type="dxa"/>
            <w:tcBorders>
              <w:top w:val="single" w:color="auto" w:sz="4" w:space="0"/>
              <w:left w:val="nil"/>
              <w:bottom w:val="single" w:color="auto" w:sz="4" w:space="0"/>
              <w:right w:val="single" w:color="auto" w:sz="4" w:space="0"/>
            </w:tcBorders>
            <w:vAlign w:val="center"/>
          </w:tcPr>
          <w:p w14:paraId="13B9535D">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说明及要求</w:t>
            </w:r>
          </w:p>
        </w:tc>
      </w:tr>
      <w:tr w14:paraId="5C07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12BD93FB">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772" w:type="dxa"/>
            <w:tcBorders>
              <w:top w:val="single" w:color="auto" w:sz="4" w:space="0"/>
              <w:left w:val="nil"/>
              <w:bottom w:val="single" w:color="auto" w:sz="4" w:space="0"/>
              <w:right w:val="single" w:color="auto" w:sz="4" w:space="0"/>
            </w:tcBorders>
            <w:vAlign w:val="center"/>
          </w:tcPr>
          <w:p w14:paraId="3394D36B">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项目属性</w:t>
            </w:r>
          </w:p>
        </w:tc>
        <w:tc>
          <w:tcPr>
            <w:tcW w:w="6579" w:type="dxa"/>
            <w:tcBorders>
              <w:top w:val="single" w:color="auto" w:sz="4" w:space="0"/>
              <w:left w:val="nil"/>
              <w:bottom w:val="single" w:color="auto" w:sz="4" w:space="0"/>
              <w:right w:val="single" w:color="auto" w:sz="4" w:space="0"/>
            </w:tcBorders>
            <w:vAlign w:val="center"/>
          </w:tcPr>
          <w:p w14:paraId="3586B968">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w:t>
            </w:r>
            <w:bookmarkStart w:id="63" w:name="EB9a5853ee094f4f0ea6ec3169265f6f2c"/>
            <w:r>
              <w:rPr>
                <w:rFonts w:hint="eastAsia" w:ascii="方正仿宋_GB2312" w:hAnsi="方正仿宋_GB2312" w:eastAsia="方正仿宋_GB2312" w:cs="方正仿宋_GB2312"/>
                <w:color w:val="auto"/>
                <w:sz w:val="24"/>
                <w:szCs w:val="24"/>
                <w:highlight w:val="none"/>
              </w:rPr>
              <w:t>属性按以下第</w:t>
            </w:r>
            <w:bookmarkEnd w:id="63"/>
            <w:r>
              <w:rPr>
                <w:rFonts w:hint="eastAsia" w:ascii="方正仿宋_GB2312" w:hAnsi="方正仿宋_GB2312" w:eastAsia="方正仿宋_GB2312" w:cs="方正仿宋_GB2312"/>
                <w:b/>
                <w:bCs/>
                <w:color w:val="auto"/>
                <w:sz w:val="24"/>
                <w:szCs w:val="24"/>
                <w:highlight w:val="none"/>
                <w:u w:val="single"/>
              </w:rPr>
              <w:t>1</w:t>
            </w:r>
            <w:r>
              <w:rPr>
                <w:rFonts w:hint="eastAsia" w:ascii="方正仿宋_GB2312" w:hAnsi="方正仿宋_GB2312" w:eastAsia="方正仿宋_GB2312" w:cs="方正仿宋_GB2312"/>
                <w:color w:val="auto"/>
                <w:sz w:val="24"/>
                <w:szCs w:val="24"/>
                <w:highlight w:val="none"/>
              </w:rPr>
              <w:t>种确定：</w:t>
            </w:r>
          </w:p>
          <w:p w14:paraId="61953A78">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1.货物</w:t>
            </w:r>
            <w:bookmarkStart w:id="64" w:name="EBd5c6c026f9674c39b21b31ecd0c1e7fa"/>
            <w:r>
              <w:rPr>
                <w:rFonts w:hint="eastAsia" w:ascii="方正仿宋_GB2312" w:hAnsi="方正仿宋_GB2312" w:eastAsia="方正仿宋_GB2312" w:cs="方正仿宋_GB2312"/>
                <w:b/>
                <w:bCs/>
                <w:color w:val="auto"/>
                <w:sz w:val="24"/>
                <w:szCs w:val="24"/>
                <w:highlight w:val="none"/>
              </w:rPr>
              <w:t>采购；</w:t>
            </w:r>
            <w:r>
              <w:rPr>
                <w:rFonts w:hint="eastAsia" w:ascii="方正仿宋_GB2312" w:hAnsi="方正仿宋_GB2312" w:eastAsia="方正仿宋_GB2312" w:cs="方正仿宋_GB2312"/>
                <w:color w:val="auto"/>
                <w:sz w:val="24"/>
                <w:szCs w:val="24"/>
                <w:highlight w:val="none"/>
              </w:rPr>
              <w:t>2.</w:t>
            </w:r>
            <w:bookmarkEnd w:id="64"/>
            <w:r>
              <w:rPr>
                <w:rFonts w:hint="eastAsia" w:ascii="方正仿宋_GB2312" w:hAnsi="方正仿宋_GB2312" w:eastAsia="方正仿宋_GB2312" w:cs="方正仿宋_GB2312"/>
                <w:color w:val="auto"/>
                <w:sz w:val="24"/>
                <w:szCs w:val="24"/>
                <w:highlight w:val="none"/>
              </w:rPr>
              <w:t>服务</w:t>
            </w:r>
            <w:bookmarkStart w:id="65" w:name="EBf7d2a4f44ecb4166a93ea852e73be69f"/>
            <w:r>
              <w:rPr>
                <w:rFonts w:hint="eastAsia" w:ascii="方正仿宋_GB2312" w:hAnsi="方正仿宋_GB2312" w:eastAsia="方正仿宋_GB2312" w:cs="方正仿宋_GB2312"/>
                <w:color w:val="auto"/>
                <w:sz w:val="24"/>
                <w:szCs w:val="24"/>
                <w:highlight w:val="none"/>
              </w:rPr>
              <w:t>采购；3.</w:t>
            </w:r>
            <w:bookmarkEnd w:id="65"/>
            <w:r>
              <w:rPr>
                <w:rFonts w:hint="eastAsia" w:ascii="方正仿宋_GB2312" w:hAnsi="方正仿宋_GB2312" w:eastAsia="方正仿宋_GB2312" w:cs="方正仿宋_GB2312"/>
                <w:color w:val="auto"/>
                <w:sz w:val="24"/>
                <w:szCs w:val="24"/>
                <w:highlight w:val="none"/>
              </w:rPr>
              <w:t>工程采购。</w:t>
            </w:r>
          </w:p>
        </w:tc>
      </w:tr>
      <w:tr w14:paraId="66E8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40CF85A2">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772" w:type="dxa"/>
            <w:tcBorders>
              <w:top w:val="single" w:color="auto" w:sz="4" w:space="0"/>
              <w:left w:val="nil"/>
              <w:bottom w:val="single" w:color="auto" w:sz="4" w:space="0"/>
              <w:right w:val="single" w:color="auto" w:sz="4" w:space="0"/>
            </w:tcBorders>
            <w:vAlign w:val="center"/>
          </w:tcPr>
          <w:p w14:paraId="564F946F">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投标有效期</w:t>
            </w:r>
          </w:p>
        </w:tc>
        <w:tc>
          <w:tcPr>
            <w:tcW w:w="6579" w:type="dxa"/>
            <w:tcBorders>
              <w:top w:val="single" w:color="auto" w:sz="4" w:space="0"/>
              <w:left w:val="nil"/>
              <w:bottom w:val="single" w:color="auto" w:sz="4" w:space="0"/>
              <w:right w:val="single" w:color="auto" w:sz="4" w:space="0"/>
            </w:tcBorders>
            <w:vAlign w:val="center"/>
          </w:tcPr>
          <w:p w14:paraId="070F3623">
            <w:pPr>
              <w:spacing w:line="400" w:lineRule="exact"/>
              <w:jc w:val="left"/>
              <w:rPr>
                <w:rFonts w:hint="eastAsia" w:ascii="方正仿宋_GB2312" w:hAnsi="方正仿宋_GB2312" w:eastAsia="方正仿宋_GB2312" w:cs="方正仿宋_GB2312"/>
                <w:color w:val="auto"/>
                <w:sz w:val="24"/>
                <w:szCs w:val="24"/>
                <w:highlight w:val="none"/>
              </w:rPr>
            </w:pPr>
            <w:bookmarkStart w:id="66" w:name="EBd40b5fb42f2944a3b45e579ce3941f02"/>
            <w:bookmarkEnd w:id="66"/>
            <w:r>
              <w:rPr>
                <w:rFonts w:hint="eastAsia" w:ascii="方正仿宋_GB2312" w:hAnsi="方正仿宋_GB2312" w:eastAsia="方正仿宋_GB2312" w:cs="方正仿宋_GB2312"/>
                <w:color w:val="auto"/>
                <w:sz w:val="24"/>
                <w:szCs w:val="24"/>
                <w:highlight w:val="none"/>
              </w:rPr>
              <w:t>60日（从提交投标文件截止之日起算）</w:t>
            </w:r>
          </w:p>
        </w:tc>
      </w:tr>
      <w:tr w14:paraId="3F74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4020C2B7">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772" w:type="dxa"/>
            <w:tcBorders>
              <w:top w:val="single" w:color="auto" w:sz="4" w:space="0"/>
              <w:left w:val="nil"/>
              <w:bottom w:val="single" w:color="auto" w:sz="4" w:space="0"/>
              <w:right w:val="single" w:color="auto" w:sz="4" w:space="0"/>
            </w:tcBorders>
            <w:vAlign w:val="center"/>
          </w:tcPr>
          <w:p w14:paraId="7EB5BA6A">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投标文件份数</w:t>
            </w:r>
          </w:p>
        </w:tc>
        <w:tc>
          <w:tcPr>
            <w:tcW w:w="6579" w:type="dxa"/>
            <w:tcBorders>
              <w:top w:val="single" w:color="auto" w:sz="4" w:space="0"/>
              <w:left w:val="nil"/>
              <w:bottom w:val="single" w:color="auto" w:sz="4" w:space="0"/>
              <w:right w:val="single" w:color="auto" w:sz="4" w:space="0"/>
            </w:tcBorders>
            <w:vAlign w:val="center"/>
          </w:tcPr>
          <w:p w14:paraId="30EDA4B3">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bidi="ar-SA"/>
              </w:rPr>
              <w:t>提交加密电子投标文件</w:t>
            </w:r>
            <w:r>
              <w:rPr>
                <w:rFonts w:hint="eastAsia" w:ascii="方正仿宋_GB2312" w:hAnsi="方正仿宋_GB2312" w:eastAsia="方正仿宋_GB2312" w:cs="方正仿宋_GB2312"/>
                <w:color w:val="auto"/>
                <w:sz w:val="24"/>
                <w:szCs w:val="24"/>
                <w:highlight w:val="none"/>
                <w:u w:val="single"/>
                <w:lang w:val="en-US" w:eastAsia="zh-CN" w:bidi="ar-SA"/>
              </w:rPr>
              <w:t>1</w:t>
            </w:r>
            <w:r>
              <w:rPr>
                <w:rFonts w:hint="eastAsia" w:ascii="方正仿宋_GB2312" w:hAnsi="方正仿宋_GB2312" w:eastAsia="方正仿宋_GB2312" w:cs="方正仿宋_GB2312"/>
                <w:color w:val="auto"/>
                <w:sz w:val="24"/>
                <w:szCs w:val="24"/>
                <w:highlight w:val="none"/>
                <w:lang w:val="en-US" w:eastAsia="zh-CN" w:bidi="ar-SA"/>
              </w:rPr>
              <w:t>份。</w:t>
            </w:r>
          </w:p>
        </w:tc>
      </w:tr>
      <w:tr w14:paraId="4952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69ECF657">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772" w:type="dxa"/>
            <w:tcBorders>
              <w:top w:val="single" w:color="auto" w:sz="4" w:space="0"/>
              <w:left w:val="nil"/>
              <w:bottom w:val="single" w:color="auto" w:sz="4" w:space="0"/>
              <w:right w:val="single" w:color="auto" w:sz="4" w:space="0"/>
            </w:tcBorders>
            <w:vAlign w:val="center"/>
          </w:tcPr>
          <w:p w14:paraId="1C22BA3D">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w:t>
            </w:r>
          </w:p>
        </w:tc>
        <w:tc>
          <w:tcPr>
            <w:tcW w:w="6579" w:type="dxa"/>
            <w:tcBorders>
              <w:top w:val="single" w:color="auto" w:sz="4" w:space="0"/>
              <w:left w:val="nil"/>
              <w:bottom w:val="single" w:color="auto" w:sz="4" w:space="0"/>
              <w:right w:val="single" w:color="auto" w:sz="4" w:space="0"/>
            </w:tcBorders>
            <w:vAlign w:val="center"/>
          </w:tcPr>
          <w:p w14:paraId="1F4BAE2C">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bidi="ar-SA"/>
              </w:rPr>
              <w:t>“苏采云”政府采购交易系统网上开标大厅进行不见面开标。</w:t>
            </w:r>
          </w:p>
        </w:tc>
      </w:tr>
      <w:tr w14:paraId="7875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vAlign w:val="center"/>
          </w:tcPr>
          <w:p w14:paraId="398DEC9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1772" w:type="dxa"/>
            <w:tcBorders>
              <w:top w:val="single" w:color="auto" w:sz="4" w:space="0"/>
              <w:left w:val="nil"/>
              <w:bottom w:val="single" w:color="auto" w:sz="4" w:space="0"/>
              <w:right w:val="single" w:color="auto" w:sz="4" w:space="0"/>
            </w:tcBorders>
            <w:vAlign w:val="center"/>
          </w:tcPr>
          <w:p w14:paraId="7D0C16ED">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进口产品</w:t>
            </w:r>
          </w:p>
        </w:tc>
        <w:tc>
          <w:tcPr>
            <w:tcW w:w="6579" w:type="dxa"/>
            <w:tcBorders>
              <w:top w:val="single" w:color="auto" w:sz="4" w:space="0"/>
              <w:left w:val="nil"/>
              <w:bottom w:val="single" w:color="auto" w:sz="4" w:space="0"/>
              <w:right w:val="single" w:color="auto" w:sz="4" w:space="0"/>
            </w:tcBorders>
            <w:vAlign w:val="center"/>
          </w:tcPr>
          <w:p w14:paraId="0D87A745">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按以下第</w:t>
            </w:r>
            <w:r>
              <w:rPr>
                <w:rFonts w:hint="eastAsia" w:ascii="方正仿宋_GB2312" w:hAnsi="方正仿宋_GB2312" w:eastAsia="方正仿宋_GB2312" w:cs="方正仿宋_GB2312"/>
                <w:b/>
                <w:bCs/>
                <w:color w:val="auto"/>
                <w:sz w:val="24"/>
                <w:szCs w:val="24"/>
                <w:highlight w:val="none"/>
                <w:u w:val="single"/>
                <w:lang w:val="en-US" w:eastAsia="zh-CN"/>
              </w:rPr>
              <w:t>2</w:t>
            </w:r>
            <w:r>
              <w:rPr>
                <w:rFonts w:hint="eastAsia" w:ascii="方正仿宋_GB2312" w:hAnsi="方正仿宋_GB2312" w:eastAsia="方正仿宋_GB2312" w:cs="方正仿宋_GB2312"/>
                <w:color w:val="auto"/>
                <w:sz w:val="24"/>
                <w:szCs w:val="24"/>
                <w:highlight w:val="none"/>
              </w:rPr>
              <w:t>种方式确定：</w:t>
            </w:r>
          </w:p>
          <w:p w14:paraId="655F76CC">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1.接受进口产品。</w:t>
            </w:r>
            <w:r>
              <w:rPr>
                <w:rFonts w:hint="eastAsia" w:ascii="方正仿宋_GB2312" w:hAnsi="方正仿宋_GB2312" w:eastAsia="方正仿宋_GB2312" w:cs="方正仿宋_GB2312"/>
                <w:b w:val="0"/>
                <w:bCs w:val="0"/>
                <w:color w:val="auto"/>
                <w:sz w:val="24"/>
                <w:highlight w:val="none"/>
              </w:rPr>
              <w:t>应</w:t>
            </w:r>
            <w:r>
              <w:rPr>
                <w:rFonts w:hint="eastAsia" w:ascii="方正仿宋_GB2312" w:hAnsi="方正仿宋_GB2312" w:eastAsia="方正仿宋_GB2312" w:cs="方正仿宋_GB2312"/>
                <w:color w:val="auto"/>
                <w:sz w:val="24"/>
                <w:highlight w:val="none"/>
              </w:rPr>
              <w:t>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color w:val="auto"/>
                <w:sz w:val="24"/>
                <w:szCs w:val="24"/>
                <w:highlight w:val="none"/>
              </w:rPr>
              <w:t>；</w:t>
            </w:r>
          </w:p>
          <w:p w14:paraId="07898AE6">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2.不接受进口产品。</w:t>
            </w:r>
          </w:p>
        </w:tc>
      </w:tr>
      <w:tr w14:paraId="66D2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54C723C5">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w:t>
            </w:r>
          </w:p>
        </w:tc>
        <w:tc>
          <w:tcPr>
            <w:tcW w:w="1772" w:type="dxa"/>
            <w:tcBorders>
              <w:top w:val="single" w:color="auto" w:sz="4" w:space="0"/>
              <w:left w:val="nil"/>
              <w:bottom w:val="single" w:color="auto" w:sz="4" w:space="0"/>
              <w:right w:val="single" w:color="auto" w:sz="4" w:space="0"/>
            </w:tcBorders>
            <w:vAlign w:val="center"/>
          </w:tcPr>
          <w:p w14:paraId="038B941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评标办法</w:t>
            </w:r>
          </w:p>
        </w:tc>
        <w:tc>
          <w:tcPr>
            <w:tcW w:w="6579" w:type="dxa"/>
            <w:tcBorders>
              <w:top w:val="single" w:color="auto" w:sz="4" w:space="0"/>
              <w:left w:val="nil"/>
              <w:bottom w:val="single" w:color="auto" w:sz="4" w:space="0"/>
              <w:right w:val="single" w:color="auto" w:sz="4" w:space="0"/>
            </w:tcBorders>
            <w:vAlign w:val="center"/>
          </w:tcPr>
          <w:p w14:paraId="1ACEB2DC">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具体评标办法详见招标文件第三章。</w:t>
            </w:r>
          </w:p>
          <w:p w14:paraId="3DBCA306">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评标委员会依据招标文件规定的评标办法和标准推荐</w:t>
            </w:r>
            <w:r>
              <w:rPr>
                <w:rFonts w:hint="eastAsia" w:ascii="方正仿宋_GB2312" w:hAnsi="方正仿宋_GB2312" w:eastAsia="方正仿宋_GB2312" w:cs="方正仿宋_GB2312"/>
                <w:color w:val="auto"/>
                <w:sz w:val="24"/>
                <w:szCs w:val="24"/>
                <w:highlight w:val="none"/>
                <w:u w:val="single"/>
              </w:rPr>
              <w:t>3</w:t>
            </w:r>
            <w:r>
              <w:rPr>
                <w:rFonts w:hint="eastAsia" w:ascii="方正仿宋_GB2312" w:hAnsi="方正仿宋_GB2312" w:eastAsia="方正仿宋_GB2312" w:cs="方正仿宋_GB2312"/>
                <w:color w:val="auto"/>
                <w:sz w:val="24"/>
                <w:szCs w:val="24"/>
                <w:highlight w:val="none"/>
              </w:rPr>
              <w:t>名中标候选人。</w:t>
            </w:r>
          </w:p>
        </w:tc>
      </w:tr>
      <w:tr w14:paraId="2266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793EAF3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p>
        </w:tc>
        <w:tc>
          <w:tcPr>
            <w:tcW w:w="1772" w:type="dxa"/>
            <w:tcBorders>
              <w:top w:val="single" w:color="auto" w:sz="4" w:space="0"/>
              <w:left w:val="nil"/>
              <w:bottom w:val="single" w:color="auto" w:sz="4" w:space="0"/>
              <w:right w:val="single" w:color="auto" w:sz="4" w:space="0"/>
            </w:tcBorders>
            <w:vAlign w:val="center"/>
          </w:tcPr>
          <w:p w14:paraId="36D0FB8F">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确定中标人</w:t>
            </w:r>
          </w:p>
        </w:tc>
        <w:tc>
          <w:tcPr>
            <w:tcW w:w="6579" w:type="dxa"/>
            <w:tcBorders>
              <w:top w:val="single" w:color="auto" w:sz="4" w:space="0"/>
              <w:left w:val="nil"/>
              <w:bottom w:val="single" w:color="auto" w:sz="4" w:space="0"/>
              <w:right w:val="single" w:color="auto" w:sz="4" w:space="0"/>
            </w:tcBorders>
            <w:vAlign w:val="center"/>
          </w:tcPr>
          <w:p w14:paraId="2B005C37">
            <w:pPr>
              <w:spacing w:line="400" w:lineRule="exact"/>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采购人按规定在评标委员会推荐的中标候选人中确定中标人</w:t>
            </w:r>
            <w:r>
              <w:rPr>
                <w:rFonts w:hint="eastAsia" w:ascii="方正仿宋_GB2312" w:hAnsi="方正仿宋_GB2312" w:eastAsia="方正仿宋_GB2312" w:cs="方正仿宋_GB2312"/>
                <w:color w:val="auto"/>
                <w:sz w:val="24"/>
                <w:szCs w:val="24"/>
                <w:highlight w:val="none"/>
                <w:lang w:eastAsia="zh-CN"/>
              </w:rPr>
              <w:t>。</w:t>
            </w:r>
          </w:p>
        </w:tc>
      </w:tr>
      <w:tr w14:paraId="274E0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0BA2C817">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w:t>
            </w:r>
          </w:p>
        </w:tc>
        <w:tc>
          <w:tcPr>
            <w:tcW w:w="1772" w:type="dxa"/>
            <w:tcBorders>
              <w:top w:val="single" w:color="auto" w:sz="4" w:space="0"/>
              <w:left w:val="nil"/>
              <w:bottom w:val="single" w:color="auto" w:sz="4" w:space="0"/>
              <w:right w:val="single" w:color="auto" w:sz="4" w:space="0"/>
            </w:tcBorders>
            <w:vAlign w:val="center"/>
          </w:tcPr>
          <w:p w14:paraId="48EA930C">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分包要求</w:t>
            </w:r>
          </w:p>
        </w:tc>
        <w:tc>
          <w:tcPr>
            <w:tcW w:w="6579" w:type="dxa"/>
            <w:tcBorders>
              <w:top w:val="single" w:color="auto" w:sz="4" w:space="0"/>
              <w:left w:val="nil"/>
              <w:bottom w:val="single" w:color="auto" w:sz="4" w:space="0"/>
              <w:right w:val="single" w:color="auto" w:sz="4" w:space="0"/>
            </w:tcBorders>
            <w:vAlign w:val="center"/>
          </w:tcPr>
          <w:p w14:paraId="12A11CE7">
            <w:pPr>
              <w:spacing w:line="400" w:lineRule="exact"/>
              <w:jc w:val="left"/>
              <w:rPr>
                <w:rFonts w:hint="eastAsia" w:ascii="方正仿宋_GB2312" w:hAnsi="方正仿宋_GB2312" w:eastAsia="方正仿宋_GB2312" w:cs="方正仿宋_GB2312"/>
                <w:color w:val="auto"/>
                <w:sz w:val="24"/>
                <w:szCs w:val="24"/>
                <w:highlight w:val="none"/>
              </w:rPr>
            </w:pPr>
            <w:bookmarkStart w:id="67" w:name="EBebac1462c5d9459fbda8a75065c2455d"/>
            <w:r>
              <w:rPr>
                <w:rFonts w:hint="eastAsia" w:ascii="方正仿宋_GB2312" w:hAnsi="方正仿宋_GB2312" w:eastAsia="方正仿宋_GB2312" w:cs="方正仿宋_GB2312"/>
                <w:color w:val="auto"/>
                <w:sz w:val="24"/>
                <w:szCs w:val="24"/>
                <w:highlight w:val="none"/>
              </w:rPr>
              <w:t>本项目的非主体、非关键性工作是否允许分包</w:t>
            </w:r>
            <w:bookmarkEnd w:id="67"/>
            <w:r>
              <w:rPr>
                <w:rFonts w:hint="eastAsia" w:ascii="方正仿宋_GB2312" w:hAnsi="方正仿宋_GB2312" w:eastAsia="方正仿宋_GB2312" w:cs="方正仿宋_GB2312"/>
                <w:color w:val="auto"/>
                <w:sz w:val="24"/>
                <w:szCs w:val="24"/>
                <w:highlight w:val="none"/>
              </w:rPr>
              <w:t>按以下第</w:t>
            </w:r>
            <w:r>
              <w:rPr>
                <w:rFonts w:hint="eastAsia" w:ascii="方正仿宋_GB2312" w:hAnsi="方正仿宋_GB2312" w:eastAsia="方正仿宋_GB2312" w:cs="方正仿宋_GB2312"/>
                <w:color w:val="auto"/>
                <w:sz w:val="24"/>
                <w:szCs w:val="24"/>
                <w:highlight w:val="none"/>
                <w:u w:val="single"/>
              </w:rPr>
              <w:t>2</w:t>
            </w:r>
            <w:r>
              <w:rPr>
                <w:rFonts w:hint="eastAsia" w:ascii="方正仿宋_GB2312" w:hAnsi="方正仿宋_GB2312" w:eastAsia="方正仿宋_GB2312" w:cs="方正仿宋_GB2312"/>
                <w:color w:val="auto"/>
                <w:sz w:val="24"/>
                <w:szCs w:val="24"/>
                <w:highlight w:val="none"/>
              </w:rPr>
              <w:t>种方式确定：</w:t>
            </w:r>
          </w:p>
          <w:p w14:paraId="6C2C142F">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1.允许分包，</w:t>
            </w:r>
            <w:bookmarkStart w:id="68" w:name="EB512ba06683724173802e2aae54a26079"/>
            <w:r>
              <w:rPr>
                <w:rFonts w:hint="eastAsia" w:ascii="方正仿宋_GB2312" w:hAnsi="方正仿宋_GB2312" w:eastAsia="方正仿宋_GB2312" w:cs="方正仿宋_GB2312"/>
                <w:color w:val="auto"/>
                <w:sz w:val="24"/>
                <w:szCs w:val="24"/>
                <w:highlight w:val="none"/>
              </w:rPr>
              <w:t>允许大中型企业向一家或者多家小微企业分包，分包具体内容、金额或比例：</w:t>
            </w:r>
            <w:bookmarkEnd w:id="68"/>
            <w:r>
              <w:rPr>
                <w:rFonts w:hint="eastAsia" w:ascii="方正仿宋_GB2312" w:hAnsi="方正仿宋_GB2312" w:eastAsia="方正仿宋_GB2312" w:cs="方正仿宋_GB2312"/>
                <w:color w:val="auto"/>
                <w:sz w:val="24"/>
                <w:szCs w:val="24"/>
                <w:highlight w:val="none"/>
              </w:rPr>
              <w:t>无</w:t>
            </w:r>
          </w:p>
          <w:p w14:paraId="1AF34778">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2.不允许分包。</w:t>
            </w:r>
          </w:p>
        </w:tc>
      </w:tr>
      <w:tr w14:paraId="751F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58" w:type="dxa"/>
            <w:tcBorders>
              <w:top w:val="single" w:color="auto" w:sz="4" w:space="0"/>
              <w:left w:val="single" w:color="auto" w:sz="4" w:space="0"/>
              <w:bottom w:val="single" w:color="auto" w:sz="4" w:space="0"/>
              <w:right w:val="single" w:color="auto" w:sz="4" w:space="0"/>
            </w:tcBorders>
            <w:vAlign w:val="center"/>
          </w:tcPr>
          <w:p w14:paraId="42373395">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1772" w:type="dxa"/>
            <w:tcBorders>
              <w:top w:val="single" w:color="auto" w:sz="4" w:space="0"/>
              <w:left w:val="nil"/>
              <w:bottom w:val="single" w:color="auto" w:sz="4" w:space="0"/>
              <w:right w:val="single" w:color="auto" w:sz="4" w:space="0"/>
            </w:tcBorders>
            <w:vAlign w:val="center"/>
          </w:tcPr>
          <w:p w14:paraId="3D5788A6">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代理费用收取方式及标准</w:t>
            </w:r>
          </w:p>
        </w:tc>
        <w:tc>
          <w:tcPr>
            <w:tcW w:w="6579" w:type="dxa"/>
            <w:tcBorders>
              <w:top w:val="single" w:color="auto" w:sz="4" w:space="0"/>
              <w:left w:val="nil"/>
              <w:bottom w:val="single" w:color="auto" w:sz="4" w:space="0"/>
              <w:right w:val="single" w:color="auto" w:sz="4" w:space="0"/>
            </w:tcBorders>
            <w:vAlign w:val="center"/>
          </w:tcPr>
          <w:p w14:paraId="2F4DC93B">
            <w:pPr>
              <w:spacing w:line="400" w:lineRule="exact"/>
              <w:jc w:val="left"/>
              <w:rPr>
                <w:rFonts w:hint="eastAsia" w:ascii="方正仿宋_GB2312" w:hAnsi="方正仿宋_GB2312" w:eastAsia="仿宋" w:cs="方正仿宋_GB2312"/>
                <w:color w:val="auto"/>
                <w:sz w:val="24"/>
                <w:szCs w:val="24"/>
                <w:highlight w:val="none"/>
              </w:rPr>
            </w:pPr>
            <w:bookmarkStart w:id="69" w:name="EBfe735bb6fc4d4e5e9e350f940db98c5f"/>
            <w:bookmarkEnd w:id="69"/>
            <w:r>
              <w:rPr>
                <w:rFonts w:hint="eastAsia" w:ascii="仿宋" w:hAnsi="仿宋" w:eastAsia="仿宋" w:cs="仿宋"/>
                <w:color w:val="auto"/>
                <w:sz w:val="24"/>
                <w:szCs w:val="24"/>
                <w:highlight w:val="none"/>
                <w:lang w:val="zh-CN"/>
              </w:rPr>
              <w:t>按采购代理合同标准支付招标代理服务费。</w:t>
            </w:r>
          </w:p>
        </w:tc>
      </w:tr>
      <w:tr w14:paraId="7DC7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vAlign w:val="center"/>
          </w:tcPr>
          <w:p w14:paraId="71791710">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w:t>
            </w:r>
          </w:p>
        </w:tc>
        <w:tc>
          <w:tcPr>
            <w:tcW w:w="1772" w:type="dxa"/>
            <w:tcBorders>
              <w:top w:val="single" w:color="auto" w:sz="4" w:space="0"/>
              <w:left w:val="nil"/>
              <w:bottom w:val="single" w:color="auto" w:sz="4" w:space="0"/>
              <w:right w:val="single" w:color="auto" w:sz="4" w:space="0"/>
            </w:tcBorders>
            <w:vAlign w:val="center"/>
          </w:tcPr>
          <w:p w14:paraId="1E4168D6">
            <w:pPr>
              <w:spacing w:line="4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其他</w:t>
            </w:r>
            <w:bookmarkEnd w:id="60"/>
            <w:bookmarkEnd w:id="61"/>
            <w:bookmarkEnd w:id="62"/>
          </w:p>
        </w:tc>
        <w:tc>
          <w:tcPr>
            <w:tcW w:w="6579" w:type="dxa"/>
            <w:tcBorders>
              <w:top w:val="single" w:color="auto" w:sz="4" w:space="0"/>
              <w:left w:val="nil"/>
              <w:bottom w:val="single" w:color="auto" w:sz="4" w:space="0"/>
              <w:right w:val="single" w:color="auto" w:sz="4" w:space="0"/>
            </w:tcBorders>
            <w:vAlign w:val="center"/>
          </w:tcPr>
          <w:p w14:paraId="697BF9DB">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信用信息查询截止时间：资格审查结束前。由采购人在资格审查现场查询信用信息，网页截屏打印，查询结果留存并归档。</w:t>
            </w:r>
          </w:p>
        </w:tc>
      </w:tr>
    </w:tbl>
    <w:p w14:paraId="4AFE453E">
      <w:pPr>
        <w:rPr>
          <w:rFonts w:hint="eastAsia" w:ascii="方正仿宋_GB2312" w:hAnsi="方正仿宋_GB2312" w:eastAsia="方正仿宋_GB2312" w:cs="方正仿宋_GB2312"/>
          <w:color w:val="auto"/>
          <w:sz w:val="20"/>
          <w:highlight w:val="none"/>
        </w:rPr>
      </w:pPr>
    </w:p>
    <w:p w14:paraId="052D824E">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bookmarkStart w:id="70" w:name="EB6eaaf474639940df900ef4965d71f450"/>
      <w:bookmarkEnd w:id="70"/>
      <w:bookmarkStart w:id="71" w:name="_Toc30953"/>
      <w:bookmarkStart w:id="72" w:name="_Toc81575192"/>
      <w:bookmarkStart w:id="73" w:name="_Toc81575155"/>
      <w:bookmarkStart w:id="74" w:name="_Toc8239"/>
      <w:r>
        <w:rPr>
          <w:rFonts w:hint="eastAsia" w:ascii="方正仿宋_GB2312" w:hAnsi="方正仿宋_GB2312" w:eastAsia="方正仿宋_GB2312" w:cs="方正仿宋_GB2312"/>
          <w:bCs/>
          <w:color w:val="auto"/>
          <w:szCs w:val="22"/>
          <w:highlight w:val="none"/>
        </w:rPr>
        <w:t>一、总 则</w:t>
      </w:r>
      <w:bookmarkEnd w:id="71"/>
      <w:bookmarkEnd w:id="72"/>
      <w:bookmarkEnd w:id="73"/>
      <w:bookmarkEnd w:id="74"/>
    </w:p>
    <w:p w14:paraId="48F64B30">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1.招标方式</w:t>
      </w:r>
    </w:p>
    <w:p w14:paraId="2FDE499D">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本次采购采取公开招标方式。</w:t>
      </w:r>
    </w:p>
    <w:p w14:paraId="640F4BCA">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2.合格的投标人</w:t>
      </w:r>
    </w:p>
    <w:p w14:paraId="658A681A">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2.1合格的投标人必须符合招标文件第一章《投标邀请》第二条及投标人须知前附表相关规定，且具备完成本项目的能力，中标后不允许转包。</w:t>
      </w:r>
    </w:p>
    <w:p w14:paraId="6DBDA324">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w:t>
      </w:r>
      <w:r>
        <w:rPr>
          <w:rFonts w:hint="eastAsia" w:ascii="仿宋" w:hAnsi="仿宋" w:eastAsia="仿宋" w:cs="仿宋"/>
          <w:color w:val="auto"/>
          <w:sz w:val="24"/>
          <w:highlight w:val="none"/>
        </w:rPr>
        <w:t>满足本文件实质性要求的规定。</w:t>
      </w:r>
    </w:p>
    <w:p w14:paraId="5BAF19B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3.</w:t>
      </w:r>
      <w:r>
        <w:rPr>
          <w:rFonts w:hint="eastAsia" w:ascii="方正仿宋_GB2312" w:hAnsi="方正仿宋_GB2312" w:eastAsia="方正仿宋_GB2312" w:cs="方正仿宋_GB2312"/>
          <w:b/>
          <w:color w:val="auto"/>
          <w:sz w:val="24"/>
          <w:highlight w:val="none"/>
        </w:rPr>
        <w:t>适用法律和标准</w:t>
      </w:r>
    </w:p>
    <w:p w14:paraId="6D71694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3.1本次招标及由招标产生的合同受中华人民共和国的相关法律、法规制约和保护。</w:t>
      </w:r>
    </w:p>
    <w:p w14:paraId="32776A1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3.2在本项目政府采购活动过程中，如果所执行的标准有更新的，按照最新标准执行。</w:t>
      </w:r>
    </w:p>
    <w:p w14:paraId="334E3606">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4.投标费用</w:t>
      </w:r>
    </w:p>
    <w:p w14:paraId="2F42BE77">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投标人应自行承担所有参加投标有关的费用。</w:t>
      </w:r>
    </w:p>
    <w:p w14:paraId="18B28EDD">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bookmarkStart w:id="75" w:name="_Toc29306"/>
      <w:bookmarkStart w:id="76" w:name="_Toc81575193"/>
      <w:bookmarkStart w:id="77" w:name="_Toc15995"/>
      <w:bookmarkStart w:id="78" w:name="_Toc81575156"/>
      <w:r>
        <w:rPr>
          <w:rFonts w:hint="eastAsia" w:ascii="方正仿宋_GB2312" w:hAnsi="方正仿宋_GB2312" w:eastAsia="方正仿宋_GB2312" w:cs="方正仿宋_GB2312"/>
          <w:bCs/>
          <w:color w:val="auto"/>
          <w:szCs w:val="22"/>
          <w:highlight w:val="none"/>
        </w:rPr>
        <w:t>二、招标文件</w:t>
      </w:r>
      <w:bookmarkEnd w:id="75"/>
      <w:bookmarkEnd w:id="76"/>
      <w:bookmarkEnd w:id="77"/>
      <w:bookmarkEnd w:id="78"/>
    </w:p>
    <w:p w14:paraId="5786BDB6">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5.招标文件构成</w:t>
      </w:r>
    </w:p>
    <w:p w14:paraId="446AD800">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5.1招标文件由以下部分组成：</w:t>
      </w:r>
    </w:p>
    <w:p w14:paraId="096BEE02">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第一章：投标邀请；</w:t>
      </w:r>
    </w:p>
    <w:p w14:paraId="1C6F33B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第二章：投标人须知；</w:t>
      </w:r>
    </w:p>
    <w:p w14:paraId="1A766B5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第三章：资格审查及评标办法；</w:t>
      </w:r>
    </w:p>
    <w:p w14:paraId="66B3CB5D">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第四章：采购需求；</w:t>
      </w:r>
    </w:p>
    <w:p w14:paraId="6F14190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第五章：合同文本；</w:t>
      </w:r>
    </w:p>
    <w:p w14:paraId="4C9AA36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第六章：投标文件格式。</w:t>
      </w:r>
    </w:p>
    <w:p w14:paraId="65F3DFF7">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请仔细检查招标文件是否齐全，如有缺漏请立即与代理机构联系解决。</w:t>
      </w:r>
    </w:p>
    <w:p w14:paraId="46DFCE2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5.2投标人应认真阅读招标文件中所有的事项、格式、条款和规范等要求，按招标文件要求和规定编制投标文件。</w:t>
      </w:r>
    </w:p>
    <w:p w14:paraId="2E493017">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6.政府采购政策功能落实</w:t>
      </w:r>
    </w:p>
    <w:p w14:paraId="3BF711E0">
      <w:pPr>
        <w:spacing w:line="480" w:lineRule="exact"/>
        <w:ind w:firstLine="482" w:firstLineChars="200"/>
        <w:rPr>
          <w:rFonts w:hint="eastAsia" w:ascii="方正仿宋_GB2312" w:hAnsi="方正仿宋_GB2312" w:eastAsia="方正仿宋_GB2312" w:cs="方正仿宋_GB2312"/>
          <w:b/>
          <w:bCs/>
          <w:color w:val="auto"/>
          <w:sz w:val="24"/>
          <w:highlight w:val="none"/>
          <w:u w:val="single"/>
          <w:lang w:val="en-US" w:eastAsia="zh-CN"/>
        </w:rPr>
      </w:pPr>
      <w:r>
        <w:rPr>
          <w:rFonts w:hint="eastAsia" w:ascii="方正仿宋_GB2312" w:hAnsi="方正仿宋_GB2312" w:eastAsia="方正仿宋_GB2312" w:cs="方正仿宋_GB2312"/>
          <w:b/>
          <w:bCs/>
          <w:color w:val="auto"/>
          <w:sz w:val="24"/>
          <w:highlight w:val="none"/>
        </w:rPr>
        <w:t>本项目落实的政府采购政策对应序号为</w:t>
      </w:r>
      <w:r>
        <w:rPr>
          <w:rFonts w:hint="eastAsia" w:ascii="方正仿宋_GB2312" w:hAnsi="方正仿宋_GB2312" w:eastAsia="方正仿宋_GB2312" w:cs="方正仿宋_GB2312"/>
          <w:b/>
          <w:bCs/>
          <w:color w:val="auto"/>
          <w:sz w:val="24"/>
          <w:highlight w:val="none"/>
          <w:u w:val="single"/>
        </w:rPr>
        <w:t xml:space="preserve"> 6.1</w:t>
      </w:r>
      <w:r>
        <w:rPr>
          <w:rFonts w:hint="eastAsia" w:ascii="方正仿宋_GB2312" w:hAnsi="方正仿宋_GB2312" w:eastAsia="方正仿宋_GB2312" w:cs="方正仿宋_GB2312"/>
          <w:b/>
          <w:bCs/>
          <w:color w:val="auto"/>
          <w:sz w:val="24"/>
          <w:highlight w:val="none"/>
          <w:u w:val="single"/>
          <w:lang w:val="en-US" w:eastAsia="zh-CN"/>
        </w:rPr>
        <w:t xml:space="preserve"> </w:t>
      </w:r>
    </w:p>
    <w:p w14:paraId="5C6981B3">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6.1中小企业政策</w:t>
      </w:r>
    </w:p>
    <w:p w14:paraId="7225E18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本项目按第</w:t>
      </w:r>
      <w:r>
        <w:rPr>
          <w:rFonts w:hint="eastAsia" w:ascii="方正仿宋_GB2312" w:hAnsi="方正仿宋_GB2312" w:eastAsia="方正仿宋_GB2312" w:cs="方正仿宋_GB2312"/>
          <w:b/>
          <w:bCs/>
          <w:color w:val="auto"/>
          <w:sz w:val="24"/>
          <w:highlight w:val="none"/>
          <w:u w:val="single"/>
        </w:rPr>
        <w:t>（2）</w:t>
      </w:r>
      <w:r>
        <w:rPr>
          <w:rFonts w:hint="eastAsia" w:ascii="方正仿宋_GB2312" w:hAnsi="方正仿宋_GB2312" w:eastAsia="方正仿宋_GB2312" w:cs="方正仿宋_GB2312"/>
          <w:color w:val="auto"/>
          <w:sz w:val="24"/>
          <w:highlight w:val="none"/>
        </w:rPr>
        <w:t>种政策落实：</w:t>
      </w:r>
    </w:p>
    <w:p w14:paraId="63097BE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（1）本项目专门面向中小企业（含监狱与戒毒企业、残疾人福利企业）采购。</w:t>
      </w:r>
    </w:p>
    <w:p w14:paraId="6CD091CE">
      <w:pPr>
        <w:spacing w:line="48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（2）对符合规定情形的小微企业报价给予</w:t>
      </w:r>
      <w:r>
        <w:rPr>
          <w:rFonts w:hint="eastAsia" w:ascii="方正仿宋_GB2312" w:hAnsi="方正仿宋_GB2312" w:eastAsia="方正仿宋_GB2312" w:cs="方正仿宋_GB2312"/>
          <w:b/>
          <w:bCs/>
          <w:color w:val="auto"/>
          <w:sz w:val="24"/>
          <w:highlight w:val="none"/>
          <w:u w:val="single"/>
        </w:rPr>
        <w:t>10%</w:t>
      </w:r>
      <w:r>
        <w:rPr>
          <w:rFonts w:hint="eastAsia" w:ascii="方正仿宋_GB2312" w:hAnsi="方正仿宋_GB2312" w:eastAsia="方正仿宋_GB2312" w:cs="方正仿宋_GB2312"/>
          <w:b/>
          <w:bCs/>
          <w:color w:val="auto"/>
          <w:sz w:val="24"/>
          <w:highlight w:val="none"/>
        </w:rPr>
        <w:t>扣除，用扣除后的价格参加评审。</w:t>
      </w:r>
    </w:p>
    <w:p w14:paraId="4ECAB6A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在服务采购项目中，服务由中小企业承接，即提供服务的人员为中小企业依照《中华人民共和国劳动合同法》订立劳动合同的从业人员。</w:t>
      </w:r>
    </w:p>
    <w:p w14:paraId="7F077AAA">
      <w:pPr>
        <w:spacing w:line="48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在货物采购项目中，货物由中小企业制造，即货物由中小企业生产且使用该中小企业商号或者注册商标。</w:t>
      </w:r>
    </w:p>
    <w:p w14:paraId="79F397E1">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2303C6A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highlight w:val="none"/>
          <w:lang w:eastAsia="zh-CN"/>
        </w:rPr>
        <w:t>（在</w:t>
      </w:r>
      <w:r>
        <w:rPr>
          <w:rFonts w:hint="eastAsia" w:ascii="方正仿宋_GB2312" w:hAnsi="方正仿宋_GB2312" w:eastAsia="方正仿宋_GB2312" w:cs="方正仿宋_GB2312"/>
          <w:color w:val="auto"/>
          <w:sz w:val="24"/>
          <w:highlight w:val="none"/>
        </w:rPr>
        <w:t>投标文件中上传加盖出具单位公章的电子件）。</w:t>
      </w:r>
    </w:p>
    <w:p w14:paraId="7C0F752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2A5AA35F">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auto"/>
          <w:sz w:val="24"/>
          <w:highlight w:val="none"/>
          <w:u w:val="single"/>
        </w:rPr>
        <w:t>5</w:t>
      </w:r>
      <w:r>
        <w:rPr>
          <w:rFonts w:hint="eastAsia" w:ascii="方正仿宋_GB2312" w:hAnsi="方正仿宋_GB2312" w:eastAsia="方正仿宋_GB2312" w:cs="方正仿宋_GB2312"/>
          <w:color w:val="auto"/>
          <w:sz w:val="24"/>
          <w:highlight w:val="none"/>
        </w:rPr>
        <w:t>%（工程项目为</w:t>
      </w:r>
      <w:r>
        <w:rPr>
          <w:rFonts w:hint="eastAsia" w:ascii="方正仿宋_GB2312" w:hAnsi="方正仿宋_GB2312" w:eastAsia="方正仿宋_GB2312" w:cs="方正仿宋_GB2312"/>
          <w:color w:val="auto"/>
          <w:sz w:val="24"/>
          <w:highlight w:val="none"/>
          <w:u w:val="single"/>
        </w:rPr>
        <w:t>2</w:t>
      </w:r>
      <w:r>
        <w:rPr>
          <w:rFonts w:hint="eastAsia" w:ascii="方正仿宋_GB2312" w:hAnsi="方正仿宋_GB2312" w:eastAsia="方正仿宋_GB2312" w:cs="方正仿宋_GB2312"/>
          <w:color w:val="auto"/>
          <w:sz w:val="24"/>
          <w:highlight w:val="none"/>
        </w:rPr>
        <w:t>%）的扣除，用扣除后的价格参加评审。（是否接受联合体以“项目基本情况”相关内容为准，是否允许大中型企业向一家或者多家小微企业分包以“须知前附表”“采购需求”相关内容为准。）</w:t>
      </w:r>
    </w:p>
    <w:p w14:paraId="1F9205F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⑤联合体各方均为小型、微型企业（残疾人福利单位、监狱企业）的，联合体享受15%价格扣除，用扣除后的价格参与评审。</w:t>
      </w:r>
    </w:p>
    <w:p w14:paraId="2E9D885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6.2采购本国产品的支持政策</w:t>
      </w:r>
    </w:p>
    <w:p w14:paraId="2B0E89E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6.2.1 </w:t>
      </w:r>
      <w:r>
        <w:rPr>
          <w:rFonts w:hint="eastAsia" w:ascii="方正仿宋_GB2312" w:hAnsi="方正仿宋_GB2312" w:eastAsia="方正仿宋_GB2312" w:cs="方正仿宋_GB2312"/>
          <w:bCs/>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7DF8B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B1E0BC">
      <w:pPr>
        <w:spacing w:line="480" w:lineRule="exact"/>
        <w:ind w:firstLine="480"/>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color w:val="auto"/>
          <w:sz w:val="24"/>
          <w:highlight w:val="none"/>
        </w:rPr>
        <w:t>6.2.2本项目政府采购活动中既有本国产品又有非本国产品参与竞争的，依法对本</w:t>
      </w:r>
      <w:r>
        <w:rPr>
          <w:rFonts w:hint="eastAsia" w:ascii="方正仿宋_GB2312" w:hAnsi="方正仿宋_GB2312" w:eastAsia="方正仿宋_GB2312" w:cs="方正仿宋_GB2312"/>
          <w:b w:val="0"/>
          <w:bCs w:val="0"/>
          <w:color w:val="auto"/>
          <w:sz w:val="24"/>
          <w:highlight w:val="none"/>
        </w:rPr>
        <w:t>国产品给予价格评审优惠，对本国产品的报价给予</w:t>
      </w:r>
      <w:r>
        <w:rPr>
          <w:rFonts w:hint="eastAsia" w:ascii="方正仿宋_GB2312" w:hAnsi="方正仿宋_GB2312" w:eastAsia="方正仿宋_GB2312" w:cs="方正仿宋_GB2312"/>
          <w:b w:val="0"/>
          <w:bCs w:val="0"/>
          <w:color w:val="auto"/>
          <w:sz w:val="24"/>
          <w:highlight w:val="none"/>
          <w:u w:val="single"/>
        </w:rPr>
        <w:t>20%</w:t>
      </w:r>
      <w:r>
        <w:rPr>
          <w:rFonts w:hint="eastAsia" w:ascii="方正仿宋_GB2312" w:hAnsi="方正仿宋_GB2312" w:eastAsia="方正仿宋_GB2312" w:cs="方正仿宋_GB2312"/>
          <w:b w:val="0"/>
          <w:bCs w:val="0"/>
          <w:color w:val="auto"/>
          <w:sz w:val="24"/>
          <w:highlight w:val="none"/>
        </w:rPr>
        <w:t>的价格扣除，用扣除后的价格参与评审。</w:t>
      </w:r>
    </w:p>
    <w:p w14:paraId="1E2C476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val="0"/>
          <w:bCs w:val="0"/>
          <w:color w:val="auto"/>
          <w:sz w:val="24"/>
          <w:highlight w:val="none"/>
        </w:rPr>
        <w:t>6.2.3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w:t>
      </w:r>
      <w:r>
        <w:rPr>
          <w:rFonts w:hint="eastAsia" w:ascii="方正仿宋_GB2312" w:hAnsi="方正仿宋_GB2312" w:eastAsia="方正仿宋_GB2312" w:cs="方正仿宋_GB2312"/>
          <w:color w:val="auto"/>
          <w:sz w:val="24"/>
          <w:highlight w:val="none"/>
        </w:rPr>
        <w:t>对该投标人提供的全部产品的总报价给予20%的价格扣除，用扣除后的价格参与评审。投标人未填写比例数值，或比例数值未达到80%的，将不享受本国产品价格评审优惠。</w:t>
      </w:r>
    </w:p>
    <w:p w14:paraId="5540A71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6.2.4 投标人需按照招标文件的要求提供《关于符合本国产品标准的声明函》，如不提供将不享受本国产品价格评审优惠。</w:t>
      </w:r>
    </w:p>
    <w:p w14:paraId="3AAC954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0532261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61D0B12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6.3节能产品、环境标志产品</w:t>
      </w:r>
    </w:p>
    <w:p w14:paraId="0382A1A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31CBAB5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6.3.1拟采购的产品属于政府强制采购的节能产品品目清单范围的，投标人须提供国家确定的认证机构出具的、处于有效期之内的节能产品认证证书，否则其投标文件作无效标处理。</w:t>
      </w:r>
    </w:p>
    <w:p w14:paraId="0433718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6.3.2采购人拟采购的产品属于优先采购的节能产品、环境标志产品清单范围的，按以下条件优先采购：</w:t>
      </w:r>
    </w:p>
    <w:p w14:paraId="08E9E21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采用综合评分法的项目，对提供有效节能产品、环境标志证书产品的投标人加分。</w:t>
      </w:r>
    </w:p>
    <w:p w14:paraId="0860152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采用最低评标价法的项目，同等条件下优先推荐提供有效节能产品、环境标志产品证书多的投标人为中标人。</w:t>
      </w:r>
    </w:p>
    <w:p w14:paraId="7B74C90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6.4政府采购需求标准</w:t>
      </w:r>
    </w:p>
    <w:p w14:paraId="1A24C2D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6.4.1商品包装、快递包装政府采购需求标准（试行）</w:t>
      </w:r>
    </w:p>
    <w:p w14:paraId="77AA035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按照财政部印发的《商品包装政府采购需求标准（试行）》《快递包装政府采购需求标准（试行）》要求执行，本项目商品包装和快递包装的具体需求详见第四章采购需求。</w:t>
      </w:r>
    </w:p>
    <w:p w14:paraId="6A28DD0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6.4.2绿色数据中心政府采购需求标准（试行）</w:t>
      </w:r>
    </w:p>
    <w:p w14:paraId="582B025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 生态环境部 工业和信息化部关于印发《绿色数据中心政府采购需求标准（试行）》的通知）要求执行，本项目绿色数据中心的具体需求详见第四章采购需求。</w:t>
      </w:r>
    </w:p>
    <w:p w14:paraId="4E0DDD2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6.4.3绿色建材政府采购需求标准</w:t>
      </w:r>
    </w:p>
    <w:p w14:paraId="4D73C18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536539D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1B05C2BC">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7.招标文件的澄清或修改</w:t>
      </w:r>
    </w:p>
    <w:p w14:paraId="30DD962F">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42169273">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7.2招标文件的澄清、修改将在原公告媒体上发布更正公告，澄清、修改文件均作为招标文件的组成部分，并对投标人具有约束力。</w:t>
      </w:r>
    </w:p>
    <w:p w14:paraId="33C91FDB">
      <w:pPr>
        <w:spacing w:line="480" w:lineRule="exact"/>
        <w:ind w:firstLine="480"/>
        <w:rPr>
          <w:rFonts w:hint="eastAsia" w:ascii="方正仿宋_GB2312" w:hAnsi="方正仿宋_GB2312" w:eastAsia="方正仿宋_GB2312" w:cs="方正仿宋_GB2312"/>
          <w:color w:val="auto"/>
          <w:sz w:val="24"/>
          <w:highlight w:val="none"/>
        </w:rPr>
      </w:pPr>
      <w:bookmarkStart w:id="79" w:name="_Toc5574"/>
      <w:bookmarkStart w:id="80" w:name="_Toc11461"/>
      <w:bookmarkStart w:id="81" w:name="_Toc81575157"/>
      <w:bookmarkStart w:id="82" w:name="_Toc81575194"/>
      <w:r>
        <w:rPr>
          <w:rFonts w:hint="eastAsia" w:ascii="方正仿宋_GB2312" w:hAnsi="方正仿宋_GB2312" w:eastAsia="方正仿宋_GB2312" w:cs="方正仿宋_GB2312"/>
          <w:color w:val="auto"/>
          <w:sz w:val="24"/>
          <w:highlight w:val="none"/>
        </w:rPr>
        <w:t>7.3投标人应及时登录“苏采云”系统获取、查看澄清答疑文件（修改后的招标文件），否则造成的相关责任由投标人承担。</w:t>
      </w:r>
    </w:p>
    <w:p w14:paraId="45547B61">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三、投标文件的编制</w:t>
      </w:r>
      <w:bookmarkEnd w:id="79"/>
      <w:bookmarkEnd w:id="80"/>
      <w:bookmarkEnd w:id="81"/>
      <w:bookmarkEnd w:id="82"/>
    </w:p>
    <w:p w14:paraId="460A344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8.</w:t>
      </w:r>
      <w:r>
        <w:rPr>
          <w:rFonts w:hint="eastAsia" w:ascii="方正仿宋_GB2312" w:hAnsi="方正仿宋_GB2312" w:eastAsia="方正仿宋_GB2312" w:cs="方正仿宋_GB2312"/>
          <w:b/>
          <w:color w:val="auto"/>
          <w:sz w:val="24"/>
          <w:highlight w:val="none"/>
        </w:rPr>
        <w:t>投标文件的编制要求</w:t>
      </w:r>
    </w:p>
    <w:p w14:paraId="6262EDD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8.1投标人应仔细阅读“招标文件”的所有内容，保证所提供的全部资料的真实性、完整性及有效性，以使其投标对“招标文件”作出实质性响应。</w:t>
      </w:r>
    </w:p>
    <w:p w14:paraId="27BB31B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8.2投标文件要求加盖电子签章之处，应按要求加盖投标人数字证书的电子签章。</w:t>
      </w:r>
    </w:p>
    <w:p w14:paraId="32EF2EE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p>
    <w:p w14:paraId="10AA3CCE">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9.</w:t>
      </w:r>
      <w:r>
        <w:rPr>
          <w:rFonts w:hint="eastAsia" w:ascii="方正仿宋_GB2312" w:hAnsi="方正仿宋_GB2312" w:eastAsia="方正仿宋_GB2312" w:cs="方正仿宋_GB2312"/>
          <w:b/>
          <w:color w:val="auto"/>
          <w:sz w:val="24"/>
          <w:highlight w:val="none"/>
        </w:rPr>
        <w:t>投标文件构成</w:t>
      </w:r>
    </w:p>
    <w:p w14:paraId="69A58BB9">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color w:val="auto"/>
          <w:sz w:val="24"/>
          <w:highlight w:val="none"/>
        </w:rPr>
        <w:t>9.1投标文件包括投标函、资格证明文件、开标一览表、分项报价表、响应及偏离表等部分。投标文件</w:t>
      </w:r>
      <w:r>
        <w:rPr>
          <w:rFonts w:hint="eastAsia" w:ascii="方正仿宋_GB2312" w:hAnsi="方正仿宋_GB2312" w:eastAsia="方正仿宋_GB2312" w:cs="方正仿宋_GB2312"/>
          <w:bCs/>
          <w:color w:val="auto"/>
          <w:sz w:val="24"/>
          <w:highlight w:val="none"/>
        </w:rPr>
        <w:t>构成资料为非中文时应提供中文译版。</w:t>
      </w:r>
      <w:bookmarkStart w:id="83" w:name="EBc50e2bb832bb43068403b10c1cce6141"/>
    </w:p>
    <w:p w14:paraId="602DF629">
      <w:pPr>
        <w:spacing w:line="480" w:lineRule="exact"/>
        <w:ind w:firstLine="482"/>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p>
    <w:p w14:paraId="68115FD9">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10.</w:t>
      </w:r>
      <w:r>
        <w:rPr>
          <w:rFonts w:hint="eastAsia" w:ascii="方正仿宋_GB2312" w:hAnsi="方正仿宋_GB2312" w:eastAsia="方正仿宋_GB2312" w:cs="方正仿宋_GB2312"/>
          <w:b/>
          <w:color w:val="auto"/>
          <w:sz w:val="24"/>
          <w:highlight w:val="none"/>
        </w:rPr>
        <w:t>投标报价</w:t>
      </w:r>
    </w:p>
    <w:p w14:paraId="722F577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10.1报价为一次报价，本项目不接受备选的投标方案或有选择的报价，只允许有一个报价。</w:t>
      </w:r>
      <w:r>
        <w:rPr>
          <w:rFonts w:hint="eastAsia" w:ascii="方正仿宋_GB2312" w:hAnsi="方正仿宋_GB2312" w:eastAsia="方正仿宋_GB2312" w:cs="方正仿宋_GB2312"/>
          <w:b/>
          <w:bCs/>
          <w:color w:val="auto"/>
          <w:sz w:val="24"/>
          <w:highlight w:val="none"/>
        </w:rPr>
        <w:t>报价内容包括：</w:t>
      </w:r>
      <w:bookmarkStart w:id="84" w:name="EB75f48e9561ee41d4955ed4174c5e92e6"/>
      <w:r>
        <w:rPr>
          <w:rFonts w:hint="eastAsia" w:ascii="方正仿宋_GB2312" w:hAnsi="方正仿宋_GB2312" w:eastAsia="方正仿宋_GB2312" w:cs="方正仿宋_GB2312"/>
          <w:b/>
          <w:bCs/>
          <w:color w:val="auto"/>
          <w:sz w:val="24"/>
          <w:highlight w:val="none"/>
          <w:lang w:val="en-US" w:eastAsia="zh-CN"/>
        </w:rPr>
        <w:t>货物</w:t>
      </w:r>
      <w:r>
        <w:rPr>
          <w:rFonts w:hint="eastAsia" w:ascii="方正仿宋_GB2312" w:hAnsi="方正仿宋_GB2312" w:eastAsia="方正仿宋_GB2312" w:cs="方正仿宋_GB2312"/>
          <w:b/>
          <w:bCs/>
          <w:color w:val="auto"/>
          <w:sz w:val="24"/>
          <w:highlight w:val="none"/>
        </w:rPr>
        <w:t>本身、人工费、服务费、</w:t>
      </w:r>
      <w:r>
        <w:rPr>
          <w:rFonts w:hint="eastAsia" w:ascii="方正仿宋_GB2312" w:hAnsi="方正仿宋_GB2312" w:eastAsia="方正仿宋_GB2312" w:cs="方正仿宋_GB2312"/>
          <w:b/>
          <w:bCs/>
          <w:color w:val="auto"/>
          <w:sz w:val="24"/>
          <w:highlight w:val="none"/>
          <w:lang w:val="en-US" w:eastAsia="zh-CN"/>
        </w:rPr>
        <w:t>验收费、</w:t>
      </w:r>
      <w:r>
        <w:rPr>
          <w:rFonts w:hint="eastAsia" w:ascii="方正仿宋_GB2312" w:hAnsi="方正仿宋_GB2312" w:eastAsia="方正仿宋_GB2312" w:cs="方正仿宋_GB2312"/>
          <w:b/>
          <w:bCs/>
          <w:color w:val="auto"/>
          <w:sz w:val="24"/>
          <w:highlight w:val="none"/>
        </w:rPr>
        <w:t>税金以及交付使用过程中涉及到的其他一切费用。</w:t>
      </w:r>
      <w:bookmarkEnd w:id="84"/>
    </w:p>
    <w:p w14:paraId="79F9683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10.2报价注意事项：投标价格一律以人民币计算，以元为单位标注，最多保留至小数点后</w:t>
      </w:r>
      <w:r>
        <w:rPr>
          <w:rFonts w:hint="eastAsia" w:ascii="方正仿宋_GB2312" w:hAnsi="方正仿宋_GB2312" w:eastAsia="方正仿宋_GB2312" w:cs="方正仿宋_GB2312"/>
          <w:color w:val="auto"/>
          <w:sz w:val="24"/>
          <w:highlight w:val="none"/>
          <w:lang w:val="en-US" w:eastAsia="zh-CN"/>
        </w:rPr>
        <w:t>两</w:t>
      </w:r>
      <w:r>
        <w:rPr>
          <w:rFonts w:hint="eastAsia" w:ascii="方正仿宋_GB2312" w:hAnsi="方正仿宋_GB2312" w:eastAsia="方正仿宋_GB2312" w:cs="方正仿宋_GB2312"/>
          <w:color w:val="auto"/>
          <w:sz w:val="24"/>
          <w:highlight w:val="none"/>
        </w:rPr>
        <w:t>位，招标文件有规定的按招标文件执行。</w:t>
      </w:r>
    </w:p>
    <w:p w14:paraId="4AF72FD4">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11.投标保证金</w:t>
      </w:r>
      <w:bookmarkStart w:id="85" w:name="EB183a0bf075204c54a4ff090f1aecaaa7"/>
    </w:p>
    <w:bookmarkEnd w:id="85"/>
    <w:p w14:paraId="4AFB0867">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本项目不收取投标保证金。</w:t>
      </w:r>
    </w:p>
    <w:p w14:paraId="6F4F704D">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12.投标有效期</w:t>
      </w:r>
    </w:p>
    <w:p w14:paraId="76D44028">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12.1在投标人须知前附表规定的投标有效期内，投标有效期从提交投标文件的截止之日起算。投标有效期比规定短的将被视为未实质性响应招标文件。</w:t>
      </w:r>
    </w:p>
    <w:p w14:paraId="4099B4D3">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p>
    <w:p w14:paraId="7A30AC74">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bookmarkStart w:id="86" w:name="_Toc23443"/>
      <w:bookmarkStart w:id="87" w:name="_Toc81575195"/>
      <w:bookmarkStart w:id="88" w:name="_Toc2773"/>
      <w:bookmarkStart w:id="89" w:name="_Toc81575158"/>
      <w:r>
        <w:rPr>
          <w:rFonts w:hint="eastAsia" w:ascii="方正仿宋_GB2312" w:hAnsi="方正仿宋_GB2312" w:eastAsia="方正仿宋_GB2312" w:cs="方正仿宋_GB2312"/>
          <w:bCs/>
          <w:color w:val="auto"/>
          <w:szCs w:val="22"/>
          <w:highlight w:val="none"/>
        </w:rPr>
        <w:t>四、投标文件的提交</w:t>
      </w:r>
      <w:bookmarkEnd w:id="86"/>
      <w:bookmarkEnd w:id="87"/>
      <w:bookmarkEnd w:id="88"/>
      <w:bookmarkEnd w:id="89"/>
    </w:p>
    <w:p w14:paraId="7AB6F373">
      <w:pPr>
        <w:spacing w:line="480" w:lineRule="exact"/>
        <w:ind w:firstLine="482"/>
        <w:rPr>
          <w:rFonts w:hint="eastAsia" w:ascii="方正仿宋_GB2312" w:hAnsi="方正仿宋_GB2312" w:eastAsia="方正仿宋_GB2312" w:cs="方正仿宋_GB2312"/>
          <w:b/>
          <w:color w:val="auto"/>
          <w:sz w:val="24"/>
          <w:highlight w:val="none"/>
        </w:rPr>
      </w:pPr>
      <w:bookmarkStart w:id="90" w:name="_Toc81575197"/>
      <w:bookmarkStart w:id="91" w:name="_Toc959"/>
      <w:bookmarkStart w:id="92" w:name="_Toc20026"/>
      <w:bookmarkStart w:id="93" w:name="_Toc81575160"/>
      <w:r>
        <w:rPr>
          <w:rFonts w:hint="eastAsia" w:ascii="方正仿宋_GB2312" w:hAnsi="方正仿宋_GB2312" w:eastAsia="方正仿宋_GB2312" w:cs="方正仿宋_GB2312"/>
          <w:b/>
          <w:color w:val="auto"/>
          <w:sz w:val="24"/>
          <w:highlight w:val="none"/>
          <w:lang w:eastAsia="zh-CN"/>
        </w:rPr>
        <w:t>13.</w:t>
      </w:r>
      <w:r>
        <w:rPr>
          <w:rFonts w:hint="eastAsia" w:ascii="方正仿宋_GB2312" w:hAnsi="方正仿宋_GB2312" w:eastAsia="方正仿宋_GB2312" w:cs="方正仿宋_GB2312"/>
          <w:b/>
          <w:color w:val="auto"/>
          <w:sz w:val="24"/>
          <w:highlight w:val="none"/>
        </w:rPr>
        <w:t>投标文件的提交</w:t>
      </w:r>
    </w:p>
    <w:p w14:paraId="63567AA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35C9147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13.2投标文件的修改和撤回：在投标截止时间前，投标人可以撤回或重新提交投标文件。投标文件以最终完成上传的为准。</w:t>
      </w:r>
    </w:p>
    <w:p w14:paraId="282A15D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052BCB42">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14.</w:t>
      </w:r>
      <w:r>
        <w:rPr>
          <w:rFonts w:hint="eastAsia" w:ascii="方正仿宋_GB2312" w:hAnsi="方正仿宋_GB2312" w:eastAsia="方正仿宋_GB2312" w:cs="方正仿宋_GB2312"/>
          <w:b/>
          <w:color w:val="auto"/>
          <w:sz w:val="24"/>
          <w:highlight w:val="none"/>
        </w:rPr>
        <w:t>投标文件被拒绝接收的情形</w:t>
      </w:r>
    </w:p>
    <w:p w14:paraId="0AEA04F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在招标文件规定的投标截止时间后上传的投标文件或对投标报价或其他实质性内容修正的文件。</w:t>
      </w:r>
    </w:p>
    <w:p w14:paraId="03F69CB2">
      <w:pPr>
        <w:pStyle w:val="3"/>
        <w:spacing w:before="0" w:after="0" w:line="520" w:lineRule="exact"/>
        <w:ind w:firstLine="321" w:firstLineChars="1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五、开标、评标程序</w:t>
      </w:r>
      <w:bookmarkEnd w:id="90"/>
      <w:bookmarkEnd w:id="91"/>
      <w:bookmarkEnd w:id="92"/>
      <w:bookmarkEnd w:id="93"/>
    </w:p>
    <w:p w14:paraId="11516B04">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15.</w:t>
      </w:r>
      <w:r>
        <w:rPr>
          <w:rFonts w:hint="eastAsia" w:ascii="方正仿宋_GB2312" w:hAnsi="方正仿宋_GB2312" w:eastAsia="方正仿宋_GB2312" w:cs="方正仿宋_GB2312"/>
          <w:b/>
          <w:color w:val="auto"/>
          <w:sz w:val="24"/>
          <w:highlight w:val="none"/>
        </w:rPr>
        <w:t>开标</w:t>
      </w:r>
    </w:p>
    <w:p w14:paraId="791413C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15.1采购代理机构将在招标公告中规定的时间和地点组织公开开标。投标人应当按照规定参加开标活动，在“苏采云”系统规定的时间内对投标文件解密。</w:t>
      </w:r>
    </w:p>
    <w:p w14:paraId="786C455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15.2开标仪式由采购代理机构组织。“苏采云”系统将自动对项目进行开标，并宣布各投标人名称和投标价格。</w:t>
      </w:r>
    </w:p>
    <w:p w14:paraId="539C1AC0">
      <w:pPr>
        <w:spacing w:line="480" w:lineRule="exact"/>
        <w:ind w:firstLine="482"/>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78A4F24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15.4投标人如果对开标过程和开标记录有疑义，应当按规定提出。如“苏采云”系统中《开标记录表》宣布后5分钟内未提出的，视同认可开标结果。</w:t>
      </w:r>
    </w:p>
    <w:p w14:paraId="2F6E29F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15.5投标人在开、评标全过程中应保持通讯畅通，及时登录“苏采云”系统查阅、答复相关信息。</w:t>
      </w:r>
    </w:p>
    <w:p w14:paraId="4EC2B497">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16.</w:t>
      </w:r>
      <w:r>
        <w:rPr>
          <w:rFonts w:hint="eastAsia" w:ascii="方正仿宋_GB2312" w:hAnsi="方正仿宋_GB2312" w:eastAsia="方正仿宋_GB2312" w:cs="方正仿宋_GB2312"/>
          <w:b/>
          <w:color w:val="auto"/>
          <w:sz w:val="24"/>
          <w:highlight w:val="none"/>
        </w:rPr>
        <w:t>评标委员会</w:t>
      </w:r>
    </w:p>
    <w:p w14:paraId="651CF02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应根据本项目的特点依法组建评标委员会，评标委员会由采购人代表和评审专家等组成，且人员构成符合政府采购有关规定。评标委员会负责具体评标事务，按公平、公正、客观、择优的原则独立履行相关职责。</w:t>
      </w:r>
    </w:p>
    <w:p w14:paraId="6DAEDAEE">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17.</w:t>
      </w:r>
      <w:r>
        <w:rPr>
          <w:rFonts w:hint="eastAsia" w:ascii="方正仿宋_GB2312" w:hAnsi="方正仿宋_GB2312" w:eastAsia="方正仿宋_GB2312" w:cs="方正仿宋_GB2312"/>
          <w:b/>
          <w:color w:val="auto"/>
          <w:sz w:val="24"/>
          <w:highlight w:val="none"/>
        </w:rPr>
        <w:t>评标程序</w:t>
      </w:r>
    </w:p>
    <w:p w14:paraId="25E9D3D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17.1资格审查</w:t>
      </w:r>
      <w:bookmarkStart w:id="94" w:name="EBa9c0a2c9e523494487594c65b2a92370"/>
    </w:p>
    <w:p w14:paraId="180EA84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开标结束后，采购人依法根据招标文件的规定对投标人的资格证明文件等进行审查。</w:t>
      </w:r>
      <w:bookmarkEnd w:id="94"/>
    </w:p>
    <w:p w14:paraId="68868A6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17.2符合性检查</w:t>
      </w:r>
    </w:p>
    <w:p w14:paraId="03BA2B9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方正仿宋_GB2312" w:hAnsi="方正仿宋_GB2312" w:eastAsia="方正仿宋_GB2312" w:cs="方正仿宋_GB2312"/>
          <w:color w:val="auto"/>
          <w:sz w:val="24"/>
          <w:highlight w:val="none"/>
        </w:rPr>
        <w:t>所谓重大偏离是指投标人投标文件中所述设备质量、技术规格、数量、交货期、服务等明显不能满足招标文件要求。</w:t>
      </w:r>
      <w:bookmarkEnd w:id="95"/>
      <w:r>
        <w:rPr>
          <w:rFonts w:hint="eastAsia" w:ascii="方正仿宋_GB2312" w:hAnsi="方正仿宋_GB2312" w:eastAsia="方正仿宋_GB2312" w:cs="方正仿宋_GB2312"/>
          <w:color w:val="auto"/>
          <w:sz w:val="24"/>
          <w:highlight w:val="none"/>
        </w:rPr>
        <w:t>重大偏离的认定需经过评标委员会以少数服从多数的原则作出结论。</w:t>
      </w:r>
    </w:p>
    <w:p w14:paraId="0C5C29B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3D0A606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445AA0E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17.5相同品牌产品投标</w:t>
      </w:r>
    </w:p>
    <w:p w14:paraId="5246D3B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5D628D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0ECBD0C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17.5.3非单一产品采购项目，采购人确定核心产品，并在招标文件中载明。</w:t>
      </w:r>
      <w:bookmarkStart w:id="96" w:name="OLE_LINK10"/>
      <w:r>
        <w:rPr>
          <w:rFonts w:hint="eastAsia" w:ascii="方正仿宋_GB2312" w:hAnsi="方正仿宋_GB2312" w:eastAsia="方正仿宋_GB2312" w:cs="方正仿宋_GB2312"/>
          <w:color w:val="auto"/>
          <w:sz w:val="24"/>
          <w:highlight w:val="none"/>
        </w:rPr>
        <w:t>多家投标人提供的核心产品品牌相同的，</w:t>
      </w:r>
      <w:bookmarkEnd w:id="96"/>
      <w:r>
        <w:rPr>
          <w:rFonts w:hint="eastAsia" w:ascii="方正仿宋_GB2312" w:hAnsi="方正仿宋_GB2312" w:eastAsia="方正仿宋_GB2312" w:cs="方正仿宋_GB2312"/>
          <w:color w:val="auto"/>
          <w:sz w:val="24"/>
          <w:highlight w:val="none"/>
        </w:rPr>
        <w:t>按前两款规定处理。</w:t>
      </w:r>
    </w:p>
    <w:p w14:paraId="4DB49AF7">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17.6有关问题的澄清</w:t>
      </w:r>
    </w:p>
    <w:p w14:paraId="2D9FF2A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4063D36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17.6.2投标文件报价出现前后不一致的，除招标文件另有规定外，按照下列规定修正：</w:t>
      </w:r>
    </w:p>
    <w:p w14:paraId="7E9CBAB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①投标文件中开标一览表（报价表）内容与投标文件中相应内容不一致的，以开标一览表（报价表）为准；</w:t>
      </w:r>
    </w:p>
    <w:p w14:paraId="4CAF6C2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②大写金额和小写金额不一致的，以大写金额为准；</w:t>
      </w:r>
    </w:p>
    <w:p w14:paraId="1777F71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③单价金额小数点或者百分比有明显错位的，以开标一览表的总价为准，并修改单价；</w:t>
      </w:r>
    </w:p>
    <w:p w14:paraId="4B1347B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④总价金额与单价汇总金额不一致的，以单价金额计算结果为准。</w:t>
      </w:r>
    </w:p>
    <w:p w14:paraId="19C924B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同时出现两种以上不一致的，按照前款规定的顺序修正。</w:t>
      </w:r>
    </w:p>
    <w:p w14:paraId="2450629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12B0ED7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评标过程中，不得去掉报价中的最高报价和最低报价。</w:t>
      </w:r>
    </w:p>
    <w:p w14:paraId="4F7F5B7D">
      <w:pPr>
        <w:spacing w:line="480" w:lineRule="exact"/>
        <w:ind w:firstLine="480"/>
        <w:rPr>
          <w:rFonts w:hint="eastAsia" w:ascii="方正仿宋_GB2312" w:hAnsi="方正仿宋_GB2312" w:eastAsia="方正仿宋_GB2312" w:cs="方正仿宋_GB2312"/>
          <w:b/>
          <w:bCs/>
          <w:color w:val="auto"/>
          <w:sz w:val="24"/>
          <w:highlight w:val="none"/>
        </w:rPr>
      </w:pPr>
      <w:bookmarkStart w:id="97" w:name="_Toc8712"/>
      <w:bookmarkStart w:id="98" w:name="_Toc81575196"/>
      <w:bookmarkStart w:id="99" w:name="_Toc81575159"/>
      <w:bookmarkStart w:id="100" w:name="_Toc8841"/>
      <w:r>
        <w:rPr>
          <w:rFonts w:hint="eastAsia" w:ascii="方正仿宋_GB2312" w:hAnsi="方正仿宋_GB2312" w:eastAsia="方正仿宋_GB2312" w:cs="方正仿宋_GB2312"/>
          <w:b/>
          <w:bCs/>
          <w:color w:val="auto"/>
          <w:sz w:val="24"/>
          <w:highlight w:val="none"/>
        </w:rPr>
        <w:t>17.7异常低价投标审查</w:t>
      </w:r>
    </w:p>
    <w:p w14:paraId="24B68F2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17.7.1 评标过程中出现下列情形之一的，评标委员会应当启动异常低价投标审查程序：</w:t>
      </w:r>
    </w:p>
    <w:p w14:paraId="1043032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（1）投标报价低于全部通过符合性审查供应商投标报价平均值</w:t>
      </w:r>
      <w:r>
        <w:rPr>
          <w:rFonts w:hint="eastAsia" w:ascii="方正仿宋_GB2312" w:hAnsi="方正仿宋_GB2312" w:eastAsia="方正仿宋_GB2312" w:cs="方正仿宋_GB2312"/>
          <w:color w:val="auto"/>
          <w:sz w:val="24"/>
          <w:highlight w:val="none"/>
          <w:lang w:val="en-US" w:eastAsia="zh-CN"/>
        </w:rPr>
        <w:t>65</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rPr>
        <w:t>的，即投标报价&lt;全部通过符合性审查供应商投标报价平均值×</w:t>
      </w:r>
      <w:r>
        <w:rPr>
          <w:rFonts w:hint="eastAsia" w:ascii="方正仿宋_GB2312" w:hAnsi="方正仿宋_GB2312" w:eastAsia="方正仿宋_GB2312" w:cs="方正仿宋_GB2312"/>
          <w:color w:val="auto"/>
          <w:sz w:val="24"/>
          <w:highlight w:val="none"/>
          <w:lang w:val="en-US" w:eastAsia="zh-CN"/>
        </w:rPr>
        <w:t>65</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rPr>
        <w:t>；</w:t>
      </w:r>
    </w:p>
    <w:p w14:paraId="22AEBA7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（2）投标报价低于通过符合性审查的次低报价供应商投标报价</w:t>
      </w:r>
      <w:r>
        <w:rPr>
          <w:rFonts w:hint="eastAsia" w:ascii="方正仿宋_GB2312" w:hAnsi="方正仿宋_GB2312" w:eastAsia="方正仿宋_GB2312" w:cs="方正仿宋_GB2312"/>
          <w:color w:val="auto"/>
          <w:sz w:val="24"/>
          <w:highlight w:val="none"/>
          <w:lang w:val="en-US" w:eastAsia="zh-CN"/>
        </w:rPr>
        <w:t>65</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rPr>
        <w:t>的，即投标报价&lt;通过符合性审查的次低报价供应商投标报价×</w:t>
      </w:r>
      <w:r>
        <w:rPr>
          <w:rFonts w:hint="eastAsia" w:ascii="方正仿宋_GB2312" w:hAnsi="方正仿宋_GB2312" w:eastAsia="方正仿宋_GB2312" w:cs="方正仿宋_GB2312"/>
          <w:color w:val="auto"/>
          <w:sz w:val="24"/>
          <w:highlight w:val="none"/>
          <w:lang w:val="en-US" w:eastAsia="zh-CN"/>
        </w:rPr>
        <w:t>65</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rPr>
        <w:t>；</w:t>
      </w:r>
    </w:p>
    <w:p w14:paraId="6E10B38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（3）投标报价低于采购项目最高限价</w:t>
      </w:r>
      <w:r>
        <w:rPr>
          <w:rFonts w:hint="eastAsia" w:ascii="方正仿宋_GB2312" w:hAnsi="方正仿宋_GB2312" w:eastAsia="方正仿宋_GB2312" w:cs="方正仿宋_GB2312"/>
          <w:color w:val="auto"/>
          <w:sz w:val="24"/>
          <w:highlight w:val="none"/>
          <w:lang w:val="en-US" w:eastAsia="zh-CN"/>
        </w:rPr>
        <w:t>65</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rPr>
        <w:t>的，即投标报价&lt;采购项目最高限价×</w:t>
      </w:r>
      <w:r>
        <w:rPr>
          <w:rFonts w:hint="eastAsia" w:ascii="方正仿宋_GB2312" w:hAnsi="方正仿宋_GB2312" w:eastAsia="方正仿宋_GB2312" w:cs="方正仿宋_GB2312"/>
          <w:color w:val="auto"/>
          <w:sz w:val="24"/>
          <w:highlight w:val="none"/>
          <w:lang w:val="en-US" w:eastAsia="zh-CN"/>
        </w:rPr>
        <w:t>65</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rPr>
        <w:t>；</w:t>
      </w:r>
    </w:p>
    <w:p w14:paraId="7117A12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（4）评标委员会基于专业判断，认为供应商报价过低，有可能影响产品质量或者不能诚信履约的其他情形。</w:t>
      </w:r>
    </w:p>
    <w:p w14:paraId="5934604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27AEFFB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60F443E0">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17.8比较</w:t>
      </w:r>
    </w:p>
    <w:p w14:paraId="41F16D9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评标委员会将按招标文件中规定的评标方法和标准，对符合性检查合格的投标文件进行商务和技术评比。</w:t>
      </w:r>
    </w:p>
    <w:p w14:paraId="25F03CF9">
      <w:pPr>
        <w:spacing w:line="48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17.9推荐中标候选人</w:t>
      </w:r>
    </w:p>
    <w:p w14:paraId="16115EF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评标委员会按照招标文件中规定的评标方法和标准推荐中标候选人。</w:t>
      </w:r>
    </w:p>
    <w:p w14:paraId="3B36E428">
      <w:pPr>
        <w:pStyle w:val="3"/>
        <w:spacing w:before="0" w:after="0" w:line="480" w:lineRule="exact"/>
        <w:ind w:firstLine="321" w:firstLineChars="100"/>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六、无效投标、废标、串通投标</w:t>
      </w:r>
      <w:bookmarkEnd w:id="97"/>
      <w:bookmarkEnd w:id="98"/>
      <w:bookmarkEnd w:id="99"/>
      <w:bookmarkEnd w:id="100"/>
      <w:r>
        <w:rPr>
          <w:rFonts w:hint="eastAsia" w:ascii="方正仿宋_GB2312" w:hAnsi="方正仿宋_GB2312" w:eastAsia="方正仿宋_GB2312" w:cs="方正仿宋_GB2312"/>
          <w:bCs/>
          <w:color w:val="auto"/>
          <w:szCs w:val="22"/>
          <w:highlight w:val="none"/>
        </w:rPr>
        <w:t>及取消中标候选人资格情形</w:t>
      </w:r>
    </w:p>
    <w:p w14:paraId="42DEAB5E">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18.无效投标情形</w:t>
      </w:r>
    </w:p>
    <w:p w14:paraId="73212386">
      <w:pPr>
        <w:spacing w:line="480" w:lineRule="exact"/>
        <w:ind w:firstLine="480" w:firstLineChars="200"/>
        <w:rPr>
          <w:rFonts w:hint="eastAsia" w:ascii="方正仿宋_GB2312" w:hAnsi="方正仿宋_GB2312" w:eastAsia="方正仿宋_GB2312" w:cs="方正仿宋_GB2312"/>
          <w:strike/>
          <w:color w:val="auto"/>
          <w:sz w:val="24"/>
          <w:highlight w:val="none"/>
        </w:rPr>
      </w:pPr>
      <w:r>
        <w:rPr>
          <w:rFonts w:hint="eastAsia" w:ascii="方正仿宋_GB2312" w:hAnsi="方正仿宋_GB2312" w:eastAsia="方正仿宋_GB2312" w:cs="方正仿宋_GB2312"/>
          <w:color w:val="auto"/>
          <w:sz w:val="24"/>
          <w:highlight w:val="none"/>
        </w:rPr>
        <w:t>18.1投标人同一采购包提交两个（含两个）以上不同的投标报价的。</w:t>
      </w:r>
    </w:p>
    <w:p w14:paraId="09528FDE">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18.2投标人不符合招标文件规定资格要求的或未按规定提交资质证件的。</w:t>
      </w:r>
    </w:p>
    <w:p w14:paraId="64CEFD0D">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18.3投标人的报价超过了采购预算或最高限价的。</w:t>
      </w:r>
    </w:p>
    <w:p w14:paraId="02A9D795">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18.4投标文件未通过符合性审查的。</w:t>
      </w:r>
    </w:p>
    <w:p w14:paraId="534C63E2">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18.5投标文件出现重大偏离，不符合招标文件中规定的实质性要求的（★部分为实质性要求）。</w:t>
      </w:r>
    </w:p>
    <w:p w14:paraId="46A2EAA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18.6评标委员会启动异常低价投标审查后，投标人不能提供书面说明、证明材料，或者评标委员会认为投标人提供的书面说明、证明材料不能证明其报价合理性的。</w:t>
      </w:r>
    </w:p>
    <w:p w14:paraId="67F7B94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18.7投标文件未按照招标文件要求加盖CA电子公章的。</w:t>
      </w:r>
    </w:p>
    <w:p w14:paraId="2355BE1C">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18.8投标人有本招标文件规定的恶意串通投标情形的。</w:t>
      </w:r>
    </w:p>
    <w:p w14:paraId="6C211B44">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18.9投标文件含有采购人不能接受的附加条件的。</w:t>
      </w:r>
    </w:p>
    <w:p w14:paraId="2BC6CE50">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18.1</w:t>
      </w:r>
      <w:r>
        <w:rPr>
          <w:rFonts w:hint="eastAsia" w:ascii="方正仿宋_GB2312" w:hAnsi="方正仿宋_GB2312" w:eastAsia="方正仿宋_GB2312" w:cs="方正仿宋_GB2312"/>
          <w:color w:val="auto"/>
          <w:sz w:val="24"/>
          <w:highlight w:val="none"/>
          <w:lang w:val="en-US" w:eastAsia="zh-CN"/>
        </w:rPr>
        <w:t>0</w:t>
      </w:r>
      <w:r>
        <w:rPr>
          <w:rFonts w:hint="eastAsia" w:ascii="方正仿宋_GB2312" w:hAnsi="方正仿宋_GB2312" w:eastAsia="方正仿宋_GB2312" w:cs="方正仿宋_GB2312"/>
          <w:color w:val="auto"/>
          <w:sz w:val="24"/>
          <w:highlight w:val="none"/>
        </w:rPr>
        <w:t>其他法律法规及本招标文件规定的属无效投标的情形。</w:t>
      </w:r>
    </w:p>
    <w:p w14:paraId="61DE7586">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19.废标情形</w:t>
      </w:r>
    </w:p>
    <w:p w14:paraId="5B8AF71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19.1符合专业条件的投标人或者对招标文件作实质响应的投标人不足三家的。</w:t>
      </w:r>
    </w:p>
    <w:p w14:paraId="7928E7E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19.2出现影响采购公正的违法、违规行为的。</w:t>
      </w:r>
    </w:p>
    <w:p w14:paraId="01C8DB8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19.3因重大变故，采购任务取消的。</w:t>
      </w:r>
    </w:p>
    <w:p w14:paraId="747EF8D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19.4评标委员会认定招标文件存在歧义、重大缺陷导致评审工作无法进行的。</w:t>
      </w:r>
    </w:p>
    <w:p w14:paraId="4ADDD1D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19.5在“苏采云”系统规定时间内成功解密电子投标文件的投标人不足三家的。</w:t>
      </w:r>
    </w:p>
    <w:p w14:paraId="2E2F4636">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20.投标人不足三家情形处理</w:t>
      </w:r>
    </w:p>
    <w:p w14:paraId="6F326C1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投标截止后投标人不足3家或者通过资格审查或符合性审查的投标人不足</w:t>
      </w:r>
      <w:r>
        <w:rPr>
          <w:rFonts w:hint="eastAsia" w:ascii="方正仿宋_GB2312" w:hAnsi="方正仿宋_GB2312" w:eastAsia="方正仿宋_GB2312" w:cs="方正仿宋_GB2312"/>
          <w:color w:val="auto"/>
          <w:sz w:val="24"/>
          <w:highlight w:val="none"/>
          <w:lang w:val="en-US" w:eastAsia="zh-CN"/>
        </w:rPr>
        <w:t>三</w:t>
      </w:r>
      <w:r>
        <w:rPr>
          <w:rFonts w:hint="eastAsia" w:ascii="方正仿宋_GB2312" w:hAnsi="方正仿宋_GB2312" w:eastAsia="方正仿宋_GB2312" w:cs="方正仿宋_GB2312"/>
          <w:color w:val="auto"/>
          <w:sz w:val="24"/>
          <w:highlight w:val="none"/>
        </w:rPr>
        <w:t>家的，除采购任务取消情形外，按财政部令第87号第四十三条条款进行处理。</w:t>
      </w:r>
    </w:p>
    <w:p w14:paraId="443B6D7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21.串通投标情形</w:t>
      </w:r>
    </w:p>
    <w:p w14:paraId="76D71FEF">
      <w:pPr>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有下列情形之一的，属于恶意串通投标，其投标无效：</w:t>
      </w:r>
    </w:p>
    <w:p w14:paraId="666EDF4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21.1投标人直接或间接从采购人或采购代理机构处获得其他投标人的投标情况，并修改其投标文件；</w:t>
      </w:r>
    </w:p>
    <w:p w14:paraId="633ED48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21.2评审活动开始前投标人直接或间接从采购人或采购代理机构处获得评标委员会组成人员情况；</w:t>
      </w:r>
    </w:p>
    <w:p w14:paraId="46E180A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21.3投标人接受采购人或采购代理机构授意撤换、修改投标文件；</w:t>
      </w:r>
    </w:p>
    <w:p w14:paraId="6A80B90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21.4投标人之间协商投标报价、技术方案等投标文件实质性内容；</w:t>
      </w:r>
    </w:p>
    <w:p w14:paraId="517233A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21.5属于同一集团、协会、商会等组织成员的投标人按照该组织要求协同投标；</w:t>
      </w:r>
    </w:p>
    <w:p w14:paraId="41AB889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21.6投标人之间事先约定由某一特定投标人中标、成交；</w:t>
      </w:r>
    </w:p>
    <w:p w14:paraId="5D38D73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21.7投标人之间商定部分投标人放弃投标或者放弃中标、成交；</w:t>
      </w:r>
    </w:p>
    <w:p w14:paraId="7038B32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21.8投标人与采购人或采购代理机构之间、投标人相互之间为谋求特定投标人中标成交或者排斥其他投标人的其他串通行为；</w:t>
      </w:r>
    </w:p>
    <w:p w14:paraId="03015665">
      <w:pPr>
        <w:spacing w:line="50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有下列情形之一的，视为投标人串通投标，其投标无效：</w:t>
      </w:r>
    </w:p>
    <w:p w14:paraId="69CAFCA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21.9不同投标人的投标文件由同一单位或者个人编制；</w:t>
      </w:r>
    </w:p>
    <w:p w14:paraId="258E4D5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21.10不同投标人的电子投标文件由同一台电子设备编制、打包、加密或者上传；</w:t>
      </w:r>
    </w:p>
    <w:p w14:paraId="1A6C52D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21.11不同投标人委托同一单位或者个人办理投标事宜；</w:t>
      </w:r>
    </w:p>
    <w:p w14:paraId="229C910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21.12不同投标人的投标文件载明的项目管理成员或者联系人员为同一人；</w:t>
      </w:r>
    </w:p>
    <w:p w14:paraId="19AD66F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21.13不同投标人的投标文件异常一致或者投标报价呈规律性差异；</w:t>
      </w:r>
    </w:p>
    <w:p w14:paraId="5D4D1CE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21.14不同投标人的投标文件相互混装；</w:t>
      </w:r>
    </w:p>
    <w:p w14:paraId="3563AE1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21.15不同投标人的投标保证金从同一单位或者个人的账户转出。</w:t>
      </w:r>
    </w:p>
    <w:p w14:paraId="0C42BE16">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22.</w:t>
      </w:r>
      <w:bookmarkStart w:id="101" w:name="OLE_LINK4"/>
      <w:r>
        <w:rPr>
          <w:rFonts w:hint="eastAsia" w:ascii="方正仿宋_GB2312" w:hAnsi="方正仿宋_GB2312" w:eastAsia="方正仿宋_GB2312" w:cs="方正仿宋_GB2312"/>
          <w:b/>
          <w:color w:val="auto"/>
          <w:sz w:val="24"/>
          <w:highlight w:val="none"/>
        </w:rPr>
        <w:t>取消中标候选人资格情形</w:t>
      </w:r>
    </w:p>
    <w:bookmarkEnd w:id="101"/>
    <w:p w14:paraId="18FFF49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22.1提供虚假材料谋取中标的；</w:t>
      </w:r>
    </w:p>
    <w:p w14:paraId="7408E4B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22.2采取不正当手段诋毁、排挤其他投标人的；</w:t>
      </w:r>
    </w:p>
    <w:p w14:paraId="7B1C55C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22.3与采购人、其他投标人或者采购代理机构恶意串通的；</w:t>
      </w:r>
    </w:p>
    <w:p w14:paraId="7A6812A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22.4向采购人、采购代理机构行贿或者提供其他不正当利益的；</w:t>
      </w:r>
    </w:p>
    <w:p w14:paraId="48D871C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22.5未在规定时间内与采购人签订采购合同的；</w:t>
      </w:r>
    </w:p>
    <w:p w14:paraId="42F55ED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22.6法律法规规定的其他情况。</w:t>
      </w:r>
      <w:bookmarkStart w:id="102" w:name="_Toc81575161"/>
      <w:bookmarkStart w:id="103" w:name="_Toc6494"/>
      <w:bookmarkStart w:id="104" w:name="_Toc2391"/>
      <w:bookmarkStart w:id="105" w:name="_Toc81575198"/>
    </w:p>
    <w:p w14:paraId="2160CAED">
      <w:pPr>
        <w:spacing w:line="480" w:lineRule="exact"/>
        <w:ind w:firstLine="321" w:firstLineChars="100"/>
        <w:outlineLvl w:val="1"/>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七、中标及合同签订</w:t>
      </w:r>
      <w:bookmarkEnd w:id="102"/>
      <w:bookmarkEnd w:id="103"/>
      <w:bookmarkEnd w:id="104"/>
      <w:bookmarkEnd w:id="105"/>
    </w:p>
    <w:p w14:paraId="4F484781">
      <w:pPr>
        <w:spacing w:line="50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23.确定中标人</w:t>
      </w:r>
    </w:p>
    <w:p w14:paraId="5BAFEA9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w:t>
      </w:r>
      <w:r>
        <w:rPr>
          <w:rFonts w:hint="eastAsia" w:ascii="方正仿宋_GB2312" w:hAnsi="方正仿宋_GB2312" w:eastAsia="方正仿宋_GB2312" w:cs="方正仿宋_GB2312"/>
          <w:color w:val="auto"/>
          <w:sz w:val="24"/>
          <w:highlight w:val="none"/>
          <w:lang w:val="en-US" w:eastAsia="zh-CN"/>
        </w:rPr>
        <w:t>1</w:t>
      </w:r>
      <w:r>
        <w:rPr>
          <w:rFonts w:hint="eastAsia" w:ascii="方正仿宋_GB2312" w:hAnsi="方正仿宋_GB2312" w:eastAsia="方正仿宋_GB2312" w:cs="方正仿宋_GB2312"/>
          <w:color w:val="auto"/>
          <w:sz w:val="24"/>
          <w:highlight w:val="none"/>
        </w:rPr>
        <w:t>采购人应当自收到评审报告之日起5个工作日内在评审报告推荐的中标候选人中按顺序确定中标人。</w:t>
      </w:r>
    </w:p>
    <w:p w14:paraId="18F7F29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w:t>
      </w:r>
      <w:r>
        <w:rPr>
          <w:rFonts w:hint="eastAsia" w:ascii="方正仿宋_GB2312" w:hAnsi="方正仿宋_GB2312" w:eastAsia="方正仿宋_GB2312" w:cs="方正仿宋_GB2312"/>
          <w:color w:val="auto"/>
          <w:sz w:val="24"/>
          <w:highlight w:val="none"/>
          <w:lang w:val="en-US" w:eastAsia="zh-CN"/>
        </w:rPr>
        <w:t>2</w:t>
      </w:r>
      <w:r>
        <w:rPr>
          <w:rFonts w:hint="eastAsia" w:ascii="方正仿宋_GB2312" w:hAnsi="方正仿宋_GB2312" w:eastAsia="方正仿宋_GB2312" w:cs="方正仿宋_GB2312"/>
          <w:color w:val="auto"/>
          <w:sz w:val="24"/>
          <w:highlight w:val="none"/>
        </w:rPr>
        <w:t>中标人确定之日起2个工作日内，采购人、采购代理机构将发布中标结果，中标公告的公告期限为1个工作日。</w:t>
      </w:r>
    </w:p>
    <w:p w14:paraId="66EC415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w:t>
      </w:r>
      <w:r>
        <w:rPr>
          <w:rFonts w:hint="eastAsia" w:ascii="方正仿宋_GB2312" w:hAnsi="方正仿宋_GB2312" w:eastAsia="方正仿宋_GB2312" w:cs="方正仿宋_GB2312"/>
          <w:color w:val="auto"/>
          <w:sz w:val="24"/>
          <w:highlight w:val="none"/>
          <w:lang w:val="en-US" w:eastAsia="zh-CN"/>
        </w:rPr>
        <w:t>3</w:t>
      </w:r>
      <w:r>
        <w:rPr>
          <w:rFonts w:hint="eastAsia" w:ascii="方正仿宋_GB2312" w:hAnsi="方正仿宋_GB2312" w:eastAsia="方正仿宋_GB2312" w:cs="方正仿宋_GB2312"/>
          <w:color w:val="auto"/>
          <w:sz w:val="24"/>
          <w:highlight w:val="none"/>
        </w:rPr>
        <w:t>采购人确定正被列为失信被执行人的投标人为中标人的，中标结果无效。</w:t>
      </w:r>
    </w:p>
    <w:p w14:paraId="2C641D19">
      <w:pPr>
        <w:spacing w:line="50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24.中标通知书</w:t>
      </w:r>
    </w:p>
    <w:p w14:paraId="6EF020F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24.1在公告中标结果的同时，采购代理机构将向中标人发出中标通知书。中标人使用CA数字证书登录“苏采云”系统及时下载中标通知书。</w:t>
      </w:r>
    </w:p>
    <w:p w14:paraId="2B7A6C2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24.2中标通知书发出后，采购人改变中标结果的，或者中标人放弃中标项目的，应当依法承担法律责任。</w:t>
      </w:r>
    </w:p>
    <w:p w14:paraId="00A328A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24.3采用综合评分法评审的，未中标人可于中标结果公告期限届满之日起通过“苏采云”系统查看</w:t>
      </w:r>
      <w:bookmarkStart w:id="106" w:name="OLE_LINK5"/>
      <w:r>
        <w:rPr>
          <w:rFonts w:hint="eastAsia" w:ascii="方正仿宋_GB2312" w:hAnsi="方正仿宋_GB2312" w:eastAsia="方正仿宋_GB2312" w:cs="方正仿宋_GB2312"/>
          <w:color w:val="auto"/>
          <w:sz w:val="24"/>
          <w:highlight w:val="none"/>
        </w:rPr>
        <w:t>自己的评审得分及排序情况。</w:t>
      </w:r>
      <w:bookmarkEnd w:id="106"/>
    </w:p>
    <w:p w14:paraId="124DA256">
      <w:pPr>
        <w:spacing w:line="50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25.授予合同</w:t>
      </w:r>
    </w:p>
    <w:p w14:paraId="3536EC2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25.1采购人与中标人应当在中标通知书发出之日起15日内签订政府采购合同。招标文件、中标人的投标文件以及评标过程中有关澄清文件均作为合同附件。</w:t>
      </w:r>
    </w:p>
    <w:p w14:paraId="187B0B8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25.2采购人在自合同签订之日起2个工作日内，将合同在指定的媒体上公告。</w:t>
      </w:r>
    </w:p>
    <w:p w14:paraId="74E503EB">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26.履约保证金</w:t>
      </w:r>
    </w:p>
    <w:p w14:paraId="2A7945AC">
      <w:pPr>
        <w:spacing w:line="480" w:lineRule="exact"/>
        <w:ind w:firstLine="480" w:firstLineChars="2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按照以下第</w:t>
      </w:r>
      <w:r>
        <w:rPr>
          <w:rFonts w:hint="eastAsia" w:ascii="方正仿宋_GB2312" w:hAnsi="方正仿宋_GB2312" w:eastAsia="方正仿宋_GB2312" w:cs="方正仿宋_GB2312"/>
          <w:b/>
          <w:bCs/>
          <w:color w:val="auto"/>
          <w:sz w:val="24"/>
          <w:highlight w:val="none"/>
          <w:u w:val="single"/>
        </w:rPr>
        <w:t>（</w:t>
      </w:r>
      <w:r>
        <w:rPr>
          <w:rFonts w:hint="eastAsia" w:ascii="方正仿宋_GB2312" w:hAnsi="方正仿宋_GB2312" w:eastAsia="方正仿宋_GB2312" w:cs="方正仿宋_GB2312"/>
          <w:b/>
          <w:bCs/>
          <w:color w:val="auto"/>
          <w:sz w:val="24"/>
          <w:highlight w:val="none"/>
          <w:u w:val="single"/>
          <w:lang w:val="en-US" w:eastAsia="zh-CN"/>
        </w:rPr>
        <w:t>1</w:t>
      </w:r>
      <w:r>
        <w:rPr>
          <w:rFonts w:hint="eastAsia" w:ascii="方正仿宋_GB2312" w:hAnsi="方正仿宋_GB2312" w:eastAsia="方正仿宋_GB2312" w:cs="方正仿宋_GB2312"/>
          <w:b/>
          <w:bCs/>
          <w:color w:val="auto"/>
          <w:sz w:val="24"/>
          <w:highlight w:val="none"/>
          <w:u w:val="single"/>
        </w:rPr>
        <w:t>）</w:t>
      </w:r>
      <w:r>
        <w:rPr>
          <w:rFonts w:hint="eastAsia" w:ascii="方正仿宋_GB2312" w:hAnsi="方正仿宋_GB2312" w:eastAsia="方正仿宋_GB2312" w:cs="方正仿宋_GB2312"/>
          <w:color w:val="auto"/>
          <w:sz w:val="24"/>
          <w:highlight w:val="none"/>
          <w:lang w:val="zh-CN"/>
        </w:rPr>
        <w:t>方式确定履约保证</w:t>
      </w:r>
      <w:r>
        <w:rPr>
          <w:rFonts w:hint="eastAsia" w:ascii="方正仿宋_GB2312" w:hAnsi="方正仿宋_GB2312" w:eastAsia="方正仿宋_GB2312" w:cs="方正仿宋_GB2312"/>
          <w:color w:val="auto"/>
          <w:sz w:val="24"/>
          <w:highlight w:val="none"/>
        </w:rPr>
        <w:t>金</w:t>
      </w:r>
      <w:r>
        <w:rPr>
          <w:rFonts w:hint="eastAsia" w:ascii="方正仿宋_GB2312" w:hAnsi="方正仿宋_GB2312" w:eastAsia="方正仿宋_GB2312" w:cs="方正仿宋_GB2312"/>
          <w:color w:val="auto"/>
          <w:sz w:val="24"/>
          <w:highlight w:val="none"/>
          <w:lang w:val="zh-CN"/>
        </w:rPr>
        <w:t>收取方式。</w:t>
      </w:r>
    </w:p>
    <w:p w14:paraId="36DDBEEF">
      <w:pPr>
        <w:spacing w:line="48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（1）本项目不收取履约保证金。</w:t>
      </w:r>
    </w:p>
    <w:p w14:paraId="1DE156D3">
      <w:pPr>
        <w:spacing w:line="480" w:lineRule="exact"/>
        <w:ind w:firstLine="480"/>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b w:val="0"/>
          <w:bCs w:val="0"/>
          <w:color w:val="auto"/>
          <w:sz w:val="24"/>
          <w:highlight w:val="none"/>
        </w:rPr>
        <w:t>（2）本项目收取履约保证金。</w:t>
      </w:r>
    </w:p>
    <w:p w14:paraId="1D4CE7E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26.1履约保证金提交形式</w:t>
      </w:r>
    </w:p>
    <w:p w14:paraId="4191EE4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履约保证金应在采购合同签订前提交，除银行电汇、网上银行、数字人民币外，投标人还可选用银行保函、担保公司的保证担保或保险公司的保证保险等多种形式向采购人缴纳。</w:t>
      </w:r>
    </w:p>
    <w:p w14:paraId="37564F9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26.2履约保证金提交金额</w:t>
      </w:r>
    </w:p>
    <w:p w14:paraId="58BD6F38">
      <w:pPr>
        <w:spacing w:line="480" w:lineRule="exact"/>
        <w:ind w:firstLine="480"/>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b w:val="0"/>
          <w:bCs w:val="0"/>
          <w:color w:val="auto"/>
          <w:sz w:val="24"/>
          <w:highlight w:val="none"/>
        </w:rPr>
        <w:t>按采购合同总价的</w:t>
      </w:r>
      <w:r>
        <w:rPr>
          <w:rFonts w:hint="eastAsia" w:ascii="方正仿宋_GB2312" w:hAnsi="方正仿宋_GB2312" w:eastAsia="方正仿宋_GB2312" w:cs="方正仿宋_GB2312"/>
          <w:b w:val="0"/>
          <w:bCs w:val="0"/>
          <w:color w:val="auto"/>
          <w:sz w:val="24"/>
          <w:highlight w:val="none"/>
          <w:u w:val="single"/>
          <w:lang w:val="en-US" w:eastAsia="zh-CN"/>
        </w:rPr>
        <w:t xml:space="preserve"> / </w:t>
      </w:r>
      <w:r>
        <w:rPr>
          <w:rFonts w:hint="eastAsia" w:ascii="方正仿宋_GB2312" w:hAnsi="方正仿宋_GB2312" w:eastAsia="方正仿宋_GB2312" w:cs="方正仿宋_GB2312"/>
          <w:b w:val="0"/>
          <w:bCs w:val="0"/>
          <w:color w:val="auto"/>
          <w:sz w:val="24"/>
          <w:highlight w:val="none"/>
        </w:rPr>
        <w:t>%提交。</w:t>
      </w:r>
    </w:p>
    <w:p w14:paraId="2CBEFCB1">
      <w:pPr>
        <w:spacing w:line="480" w:lineRule="exact"/>
        <w:ind w:firstLine="48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color w:val="auto"/>
          <w:sz w:val="24"/>
          <w:highlight w:val="none"/>
        </w:rPr>
        <w:t>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color w:val="auto"/>
          <w:sz w:val="24"/>
          <w:highlight w:val="none"/>
          <w:u w:val="single"/>
          <w:lang w:val="en-US" w:eastAsia="zh-CN"/>
        </w:rPr>
        <w:t xml:space="preserve"> / </w:t>
      </w:r>
      <w:r>
        <w:rPr>
          <w:rFonts w:hint="eastAsia" w:ascii="方正仿宋_GB2312" w:hAnsi="方正仿宋_GB2312" w:eastAsia="方正仿宋_GB2312" w:cs="方正仿宋_GB2312"/>
          <w:color w:val="auto"/>
          <w:sz w:val="24"/>
          <w:highlight w:val="none"/>
        </w:rPr>
        <w:t>%提交。办理流程、偿付等内容见江苏政府采购网“保险保函”模块。</w:t>
      </w:r>
    </w:p>
    <w:p w14:paraId="5D3F40C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26.3履约保证金退还方式</w:t>
      </w:r>
    </w:p>
    <w:p w14:paraId="56772CA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040B08B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26.4履约保证金退还条件</w:t>
      </w:r>
    </w:p>
    <w:p w14:paraId="00F29B0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具有验收合格相关证明材料。</w:t>
      </w:r>
    </w:p>
    <w:p w14:paraId="01BC7EB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26.5履约保证金退还时间</w:t>
      </w:r>
    </w:p>
    <w:p w14:paraId="4D1AD9D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采购人收到投标人退付申请后5个工作日内退还。中标人须及时办理退付申请，如中标人在三年内未办理退还履约保证金手续，视同投标人放弃该项权利。</w:t>
      </w:r>
    </w:p>
    <w:p w14:paraId="28EDDE9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26.6履约保证金不予退还情形</w:t>
      </w:r>
    </w:p>
    <w:p w14:paraId="62DF49D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除不可抗力外，中标人不履行与采购人订立的采购合同的，履约保证金不予退还，给采购人造成的损失超过履约保证金数额的，还应对超过部分予以赔偿。</w:t>
      </w:r>
    </w:p>
    <w:p w14:paraId="5A7A51C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26.7逾期退还履约保证金违约责任</w:t>
      </w:r>
    </w:p>
    <w:p w14:paraId="07A0B46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采购人逾期退还履约保证金的，除应退还履约保证金外，还应按中国人民银行同期贷款基准利率上浮20％后的利率支付超期资金占用费，但因投标人自身原因导致无法及时退还的除外。</w:t>
      </w:r>
    </w:p>
    <w:p w14:paraId="719EB283">
      <w:pPr>
        <w:spacing w:line="480" w:lineRule="exact"/>
        <w:ind w:firstLine="482" w:firstLineChars="20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color w:val="auto"/>
          <w:sz w:val="24"/>
          <w:highlight w:val="none"/>
        </w:rPr>
        <w:t>27.线上融资</w:t>
      </w:r>
    </w:p>
    <w:p w14:paraId="2CFF6716">
      <w:pPr>
        <w:spacing w:line="480" w:lineRule="exact"/>
        <w:ind w:firstLine="480" w:firstLineChars="20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中标人可凭政府采购合同办理融资贷款，详情见江苏政府采购网“政采贷”专栏。</w:t>
      </w:r>
    </w:p>
    <w:p w14:paraId="3C89A137">
      <w:pPr>
        <w:spacing w:line="480" w:lineRule="exact"/>
        <w:ind w:firstLine="482"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28.合同履行</w:t>
      </w:r>
    </w:p>
    <w:p w14:paraId="6DDBCBE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28.1政府采购合同订立后，合同各方不得擅自变更、中止或者终止合同。</w:t>
      </w:r>
    </w:p>
    <w:p w14:paraId="6C935DE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28.2政府采购合同履行中，采购人需追加与合同标的相同的货物、工程或者服务的，在不改变合同其他条款的前提下，可以与中标人签订补充合同，但所补充合同的采购金额不得超过原合同采购金额的百分之十。</w:t>
      </w:r>
    </w:p>
    <w:p w14:paraId="67BED065">
      <w:pPr>
        <w:pStyle w:val="3"/>
        <w:spacing w:before="0" w:after="0" w:line="520" w:lineRule="exact"/>
        <w:rPr>
          <w:rFonts w:hint="eastAsia" w:ascii="方正仿宋_GB2312" w:hAnsi="方正仿宋_GB2312" w:eastAsia="方正仿宋_GB2312" w:cs="方正仿宋_GB2312"/>
          <w:bCs/>
          <w:color w:val="auto"/>
          <w:szCs w:val="22"/>
          <w:highlight w:val="none"/>
        </w:rPr>
      </w:pPr>
      <w:bookmarkStart w:id="107" w:name="_Toc22084"/>
      <w:bookmarkStart w:id="108" w:name="_Toc7550"/>
      <w:bookmarkStart w:id="109" w:name="_Toc81575199"/>
      <w:bookmarkStart w:id="110" w:name="_Toc81575162"/>
      <w:r>
        <w:rPr>
          <w:rFonts w:hint="eastAsia" w:ascii="方正仿宋_GB2312" w:hAnsi="方正仿宋_GB2312" w:eastAsia="方正仿宋_GB2312" w:cs="方正仿宋_GB2312"/>
          <w:bCs/>
          <w:color w:val="auto"/>
          <w:szCs w:val="22"/>
          <w:highlight w:val="none"/>
        </w:rPr>
        <w:t>八、</w:t>
      </w:r>
      <w:bookmarkEnd w:id="107"/>
      <w:bookmarkEnd w:id="108"/>
      <w:bookmarkEnd w:id="109"/>
      <w:bookmarkEnd w:id="110"/>
      <w:bookmarkStart w:id="111" w:name="_Toc81575200"/>
      <w:bookmarkStart w:id="112" w:name="_Toc81575163"/>
      <w:bookmarkStart w:id="113" w:name="_Toc31888"/>
      <w:bookmarkStart w:id="114" w:name="_Toc12263"/>
      <w:r>
        <w:rPr>
          <w:rFonts w:hint="eastAsia" w:ascii="方正仿宋_GB2312" w:hAnsi="方正仿宋_GB2312" w:eastAsia="方正仿宋_GB2312" w:cs="方正仿宋_GB2312"/>
          <w:bCs/>
          <w:color w:val="auto"/>
          <w:szCs w:val="22"/>
          <w:highlight w:val="none"/>
        </w:rPr>
        <w:t>质疑与投诉</w:t>
      </w:r>
      <w:bookmarkEnd w:id="111"/>
      <w:bookmarkEnd w:id="112"/>
      <w:bookmarkEnd w:id="113"/>
      <w:bookmarkEnd w:id="114"/>
    </w:p>
    <w:p w14:paraId="72EFC45E">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29.质疑</w:t>
      </w:r>
    </w:p>
    <w:p w14:paraId="5745641F">
      <w:pPr>
        <w:spacing w:line="480" w:lineRule="exact"/>
        <w:ind w:firstLine="480" w:firstLineChars="200"/>
        <w:rPr>
          <w:rFonts w:hint="eastAsia" w:ascii="方正仿宋_GB2312" w:hAnsi="方正仿宋_GB2312" w:eastAsia="方正仿宋_GB2312" w:cs="方正仿宋_GB2312"/>
          <w:color w:val="auto"/>
          <w:sz w:val="24"/>
          <w:highlight w:val="none"/>
        </w:rPr>
      </w:pPr>
      <w:bookmarkStart w:id="115" w:name="OLE_LINK1"/>
      <w:r>
        <w:rPr>
          <w:rFonts w:hint="eastAsia" w:ascii="方正仿宋_GB2312" w:hAnsi="方正仿宋_GB2312" w:eastAsia="方正仿宋_GB2312" w:cs="方正仿宋_GB2312"/>
          <w:color w:val="auto"/>
          <w:sz w:val="24"/>
          <w:highlight w:val="none"/>
          <w:lang w:val="en-US" w:eastAsia="zh-CN"/>
        </w:rPr>
        <w:t>2</w:t>
      </w:r>
      <w:r>
        <w:rPr>
          <w:rFonts w:hint="eastAsia" w:ascii="方正仿宋_GB2312" w:hAnsi="方正仿宋_GB2312" w:eastAsia="方正仿宋_GB2312" w:cs="方正仿宋_GB2312"/>
          <w:color w:val="auto"/>
          <w:sz w:val="24"/>
          <w:highlight w:val="none"/>
        </w:rPr>
        <w:t>9.1投标人认为采购文件、采购过程和中标结果使自己的权益受到损害的，可以在知道或者应知其权益受到损害之日起七个工作日内，</w:t>
      </w:r>
      <w:bookmarkStart w:id="116" w:name="OLE_LINK2"/>
      <w:r>
        <w:rPr>
          <w:rFonts w:hint="eastAsia" w:ascii="方正仿宋_GB2312" w:hAnsi="方正仿宋_GB2312" w:eastAsia="方正仿宋_GB2312" w:cs="方正仿宋_GB2312"/>
          <w:b/>
          <w:bCs/>
          <w:color w:val="auto"/>
          <w:sz w:val="24"/>
          <w:highlight w:val="none"/>
        </w:rPr>
        <w:t>登录“苏采云”系统，从“项目质疑申请”模块向采购人提出质疑</w:t>
      </w:r>
      <w:bookmarkEnd w:id="116"/>
      <w:r>
        <w:rPr>
          <w:rFonts w:hint="eastAsia" w:ascii="方正仿宋_GB2312" w:hAnsi="方正仿宋_GB2312" w:eastAsia="方正仿宋_GB2312" w:cs="方正仿宋_GB2312"/>
          <w:b/>
          <w:bCs/>
          <w:color w:val="auto"/>
          <w:sz w:val="24"/>
          <w:highlight w:val="none"/>
        </w:rPr>
        <w:t>。</w:t>
      </w:r>
      <w:r>
        <w:rPr>
          <w:rFonts w:hint="eastAsia" w:ascii="方正仿宋_GB2312" w:hAnsi="方正仿宋_GB2312" w:eastAsia="方正仿宋_GB2312" w:cs="方正仿宋_GB2312"/>
          <w:color w:val="auto"/>
          <w:sz w:val="24"/>
          <w:highlight w:val="none"/>
        </w:rPr>
        <w:t>质疑联系部门、联系电话、通讯地址详见采购公告。</w:t>
      </w:r>
      <w:bookmarkEnd w:id="115"/>
    </w:p>
    <w:p w14:paraId="57B35C7A">
      <w:pPr>
        <w:spacing w:line="48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29.2投标人应知其权益受到损害之日，是指：</w:t>
      </w:r>
    </w:p>
    <w:p w14:paraId="5B720C2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（1）对本项目采购文件提出质疑的，为获取采购文件之日或者采购文件公告期限届满之日；</w:t>
      </w:r>
    </w:p>
    <w:p w14:paraId="1DD08D5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（2）对本项目采购过程提出质疑的，为各采购程序环节结束之日；</w:t>
      </w:r>
    </w:p>
    <w:p w14:paraId="43F8DF5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（3）对本项目中标结果提出质疑的，为中标结果公告期限届满之日。</w:t>
      </w:r>
    </w:p>
    <w:p w14:paraId="7DDEA0F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29.3质疑投标人应当是参与所质疑项目采购活动的投标人。潜在投标人已依法获取其可质疑的采购文件的，方可对该文件提出质疑。投标人在法定质疑期内应一次性提出针对同一采购程序环节的质疑。</w:t>
      </w:r>
    </w:p>
    <w:p w14:paraId="714A3F2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29.4投标人提出质疑应当提交质疑函和必要的证明材料。质疑函的必备内容：</w:t>
      </w:r>
    </w:p>
    <w:p w14:paraId="7CBD7F9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（1）投标人的姓名或者名称、地址、邮编、联系人及联系电话；</w:t>
      </w:r>
    </w:p>
    <w:p w14:paraId="4877105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（2）质疑项目的名称、编号；</w:t>
      </w:r>
    </w:p>
    <w:p w14:paraId="42E17A7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（3）获取采购文件的时间；</w:t>
      </w:r>
    </w:p>
    <w:p w14:paraId="7243DBE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（4）具体、明确的质疑事项和质疑事项相关的请求；</w:t>
      </w:r>
    </w:p>
    <w:p w14:paraId="3232441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（5）事实依据；</w:t>
      </w:r>
    </w:p>
    <w:p w14:paraId="419D374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（6）必要的法律依据；</w:t>
      </w:r>
    </w:p>
    <w:p w14:paraId="09B824F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（7）提出质疑的日期；</w:t>
      </w:r>
    </w:p>
    <w:p w14:paraId="69A6ACA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（8）投标人为自然人的，由本人签字；投标人为法人或者其他组织的，应当由法定代表人、主要负责人，或者其授权代表签字或者盖章，并加盖公章；</w:t>
      </w:r>
    </w:p>
    <w:p w14:paraId="35025EE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3631B76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29.5采购人在收到质疑函后7个工作日内作出答复，并以书面形式通知质疑投标人和其他有关投标人，但质疑答复的内容不涉及商业秘密。</w:t>
      </w:r>
    </w:p>
    <w:p w14:paraId="03ADE51C">
      <w:pPr>
        <w:spacing w:line="48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30.投诉</w:t>
      </w:r>
    </w:p>
    <w:p w14:paraId="63FBEF3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质疑投标人对答复不满意或采购人、采购代理机构未在规定时间内作出答复的，可在答复期满后15个工作日内向同级财政部门提起投诉。</w:t>
      </w:r>
    </w:p>
    <w:p w14:paraId="67FD7C1A">
      <w:pPr>
        <w:spacing w:line="480" w:lineRule="exact"/>
        <w:ind w:firstLine="420" w:firstLineChars="200"/>
        <w:jc w:val="center"/>
        <w:outlineLvl w:val="0"/>
        <w:rPr>
          <w:rFonts w:hint="eastAsia" w:ascii="方正仿宋_GB2312" w:hAnsi="方正仿宋_GB2312" w:eastAsia="方正仿宋_GB2312" w:cs="方正仿宋_GB2312"/>
          <w:b/>
          <w:bCs/>
          <w:color w:val="auto"/>
          <w:sz w:val="44"/>
          <w:highlight w:val="none"/>
        </w:rPr>
      </w:pPr>
      <w:bookmarkStart w:id="117" w:name="EB4d341233595e4bf8ad7006b4bd78d974"/>
      <w:bookmarkEnd w:id="117"/>
      <w:bookmarkStart w:id="118" w:name="_Toc81575164"/>
      <w:bookmarkStart w:id="119" w:name="_Toc81575201"/>
      <w:bookmarkStart w:id="120" w:name="_Hlk166141273"/>
      <w:r>
        <w:rPr>
          <w:rFonts w:hint="eastAsia" w:ascii="方正仿宋_GB2312" w:hAnsi="方正仿宋_GB2312" w:eastAsia="方正仿宋_GB2312" w:cs="方正仿宋_GB2312"/>
          <w:color w:val="auto"/>
          <w:highlight w:val="none"/>
        </w:rPr>
        <w:br w:type="page"/>
      </w:r>
      <w:bookmarkStart w:id="121" w:name="_Toc10424"/>
      <w:r>
        <w:rPr>
          <w:rFonts w:hint="eastAsia" w:ascii="方正仿宋_GB2312" w:hAnsi="方正仿宋_GB2312" w:eastAsia="方正仿宋_GB2312" w:cs="方正仿宋_GB2312"/>
          <w:b/>
          <w:bCs/>
          <w:color w:val="auto"/>
          <w:sz w:val="44"/>
          <w:szCs w:val="44"/>
          <w:highlight w:val="none"/>
        </w:rPr>
        <w:t>第三章  资格审查</w:t>
      </w:r>
      <w:r>
        <w:rPr>
          <w:rFonts w:hint="eastAsia" w:ascii="方正仿宋_GB2312" w:hAnsi="方正仿宋_GB2312" w:eastAsia="方正仿宋_GB2312" w:cs="方正仿宋_GB2312"/>
          <w:b/>
          <w:bCs/>
          <w:color w:val="auto"/>
          <w:sz w:val="44"/>
          <w:highlight w:val="none"/>
        </w:rPr>
        <w:t>及评标</w:t>
      </w:r>
      <w:bookmarkEnd w:id="118"/>
      <w:bookmarkEnd w:id="119"/>
      <w:r>
        <w:rPr>
          <w:rFonts w:hint="eastAsia" w:ascii="方正仿宋_GB2312" w:hAnsi="方正仿宋_GB2312" w:eastAsia="方正仿宋_GB2312" w:cs="方正仿宋_GB2312"/>
          <w:b/>
          <w:bCs/>
          <w:color w:val="auto"/>
          <w:sz w:val="44"/>
          <w:highlight w:val="none"/>
        </w:rPr>
        <w:t>方法</w:t>
      </w:r>
      <w:bookmarkEnd w:id="121"/>
    </w:p>
    <w:p w14:paraId="00163ADE">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bookmarkStart w:id="122" w:name="_Toc12255"/>
      <w:bookmarkStart w:id="123" w:name="_Toc81575205"/>
      <w:bookmarkStart w:id="124" w:name="_Toc81575168"/>
      <w:bookmarkStart w:id="125" w:name="_Toc2916"/>
      <w:r>
        <w:rPr>
          <w:rFonts w:hint="eastAsia" w:ascii="方正仿宋_GB2312" w:hAnsi="方正仿宋_GB2312" w:eastAsia="方正仿宋_GB2312" w:cs="方正仿宋_GB2312"/>
          <w:b/>
          <w:bCs/>
          <w:color w:val="auto"/>
          <w:sz w:val="24"/>
          <w:highlight w:val="none"/>
        </w:rPr>
        <w:t>一、资格审查</w:t>
      </w:r>
    </w:p>
    <w:p w14:paraId="25963CDD">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资格审查人员按照下列指标对各投标人的资格进行审查，未通过审查的为无效标，不参与评标。</w:t>
      </w:r>
    </w:p>
    <w:tbl>
      <w:tblPr>
        <w:tblStyle w:val="55"/>
        <w:tblW w:w="921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607"/>
        <w:gridCol w:w="4608"/>
      </w:tblGrid>
      <w:tr w14:paraId="1D640C9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blHeader/>
          <w:jc w:val="center"/>
        </w:trPr>
        <w:tc>
          <w:tcPr>
            <w:tcW w:w="4607" w:type="dxa"/>
            <w:tcBorders>
              <w:top w:val="single" w:color="auto" w:sz="6" w:space="0"/>
              <w:left w:val="single" w:color="auto" w:sz="6" w:space="0"/>
              <w:bottom w:val="single" w:color="auto" w:sz="6" w:space="0"/>
              <w:right w:val="single" w:color="auto" w:sz="6" w:space="0"/>
            </w:tcBorders>
            <w:vAlign w:val="center"/>
          </w:tcPr>
          <w:p w14:paraId="47D92CAE">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资格审查因素</w:t>
            </w:r>
          </w:p>
        </w:tc>
        <w:tc>
          <w:tcPr>
            <w:tcW w:w="4608" w:type="dxa"/>
            <w:tcBorders>
              <w:top w:val="single" w:color="auto" w:sz="6" w:space="0"/>
              <w:left w:val="single" w:color="auto" w:sz="6" w:space="0"/>
              <w:bottom w:val="single" w:color="auto" w:sz="6" w:space="0"/>
              <w:right w:val="single" w:color="auto" w:sz="6" w:space="0"/>
            </w:tcBorders>
            <w:vAlign w:val="center"/>
          </w:tcPr>
          <w:p w14:paraId="12280938">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审查标准</w:t>
            </w:r>
          </w:p>
        </w:tc>
      </w:tr>
      <w:tr w14:paraId="66F23A1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607" w:type="dxa"/>
            <w:tcBorders>
              <w:top w:val="single" w:color="auto" w:sz="6" w:space="0"/>
              <w:left w:val="single" w:color="auto" w:sz="6" w:space="0"/>
              <w:bottom w:val="single" w:color="auto" w:sz="6" w:space="0"/>
              <w:right w:val="single" w:color="auto" w:sz="6" w:space="0"/>
            </w:tcBorders>
            <w:vAlign w:val="center"/>
          </w:tcPr>
          <w:p w14:paraId="1C60C243">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投标函</w:t>
            </w:r>
          </w:p>
        </w:tc>
        <w:tc>
          <w:tcPr>
            <w:tcW w:w="4608" w:type="dxa"/>
            <w:tcBorders>
              <w:top w:val="single" w:color="auto" w:sz="6" w:space="0"/>
              <w:left w:val="single" w:color="auto" w:sz="6" w:space="0"/>
              <w:bottom w:val="single" w:color="auto" w:sz="6" w:space="0"/>
              <w:right w:val="single" w:color="auto" w:sz="6" w:space="0"/>
            </w:tcBorders>
            <w:vAlign w:val="center"/>
          </w:tcPr>
          <w:p w14:paraId="41A61F14">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029A8F0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607" w:type="dxa"/>
            <w:tcBorders>
              <w:top w:val="single" w:color="auto" w:sz="6" w:space="0"/>
              <w:left w:val="single" w:color="auto" w:sz="6" w:space="0"/>
              <w:bottom w:val="single" w:color="auto" w:sz="6" w:space="0"/>
              <w:right w:val="single" w:color="auto" w:sz="6" w:space="0"/>
            </w:tcBorders>
            <w:vAlign w:val="center"/>
          </w:tcPr>
          <w:p w14:paraId="14C27B4A">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信用信息</w:t>
            </w:r>
          </w:p>
        </w:tc>
        <w:tc>
          <w:tcPr>
            <w:tcW w:w="4608" w:type="dxa"/>
            <w:tcBorders>
              <w:top w:val="single" w:color="auto" w:sz="6" w:space="0"/>
              <w:left w:val="single" w:color="auto" w:sz="6" w:space="0"/>
              <w:bottom w:val="single" w:color="auto" w:sz="6" w:space="0"/>
              <w:right w:val="single" w:color="auto" w:sz="6" w:space="0"/>
            </w:tcBorders>
            <w:vAlign w:val="center"/>
          </w:tcPr>
          <w:p w14:paraId="6386E076">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4131BDE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607" w:type="dxa"/>
            <w:tcBorders>
              <w:top w:val="single" w:color="auto" w:sz="6" w:space="0"/>
              <w:left w:val="single" w:color="auto" w:sz="6" w:space="0"/>
              <w:bottom w:val="single" w:color="auto" w:sz="6" w:space="0"/>
              <w:right w:val="single" w:color="auto" w:sz="6" w:space="0"/>
            </w:tcBorders>
            <w:vAlign w:val="center"/>
          </w:tcPr>
          <w:p w14:paraId="46AAD3CD">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特定资格要求</w:t>
            </w:r>
          </w:p>
        </w:tc>
        <w:tc>
          <w:tcPr>
            <w:tcW w:w="4608" w:type="dxa"/>
            <w:tcBorders>
              <w:top w:val="single" w:color="auto" w:sz="6" w:space="0"/>
              <w:left w:val="single" w:color="auto" w:sz="6" w:space="0"/>
              <w:bottom w:val="single" w:color="auto" w:sz="6" w:space="0"/>
              <w:right w:val="single" w:color="auto" w:sz="6" w:space="0"/>
            </w:tcBorders>
            <w:vAlign w:val="center"/>
          </w:tcPr>
          <w:p w14:paraId="6A27468E">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bl>
    <w:p w14:paraId="3D0C06C9">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二、符合性审查</w:t>
      </w:r>
    </w:p>
    <w:p w14:paraId="67FB8392">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评标委员会对符合资格的投标人的投标文件进行符合性审查，未通过审查的为无效标，不再参与评审。</w:t>
      </w:r>
    </w:p>
    <w:tbl>
      <w:tblPr>
        <w:tblStyle w:val="55"/>
        <w:tblW w:w="921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301"/>
        <w:gridCol w:w="4912"/>
      </w:tblGrid>
      <w:tr w14:paraId="48D6A22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blHeader/>
          <w:jc w:val="center"/>
        </w:trPr>
        <w:tc>
          <w:tcPr>
            <w:tcW w:w="4301" w:type="dxa"/>
            <w:tcBorders>
              <w:top w:val="single" w:color="auto" w:sz="6" w:space="0"/>
              <w:left w:val="single" w:color="auto" w:sz="6" w:space="0"/>
              <w:bottom w:val="single" w:color="auto" w:sz="6" w:space="0"/>
              <w:right w:val="single" w:color="auto" w:sz="6" w:space="0"/>
            </w:tcBorders>
            <w:vAlign w:val="center"/>
          </w:tcPr>
          <w:p w14:paraId="22256FC8">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符合性审查因素</w:t>
            </w:r>
          </w:p>
        </w:tc>
        <w:tc>
          <w:tcPr>
            <w:tcW w:w="4912" w:type="dxa"/>
            <w:tcBorders>
              <w:top w:val="single" w:color="auto" w:sz="6" w:space="0"/>
              <w:left w:val="single" w:color="auto" w:sz="6" w:space="0"/>
              <w:bottom w:val="single" w:color="auto" w:sz="6" w:space="0"/>
              <w:right w:val="single" w:color="auto" w:sz="6" w:space="0"/>
            </w:tcBorders>
            <w:vAlign w:val="center"/>
          </w:tcPr>
          <w:p w14:paraId="207D4E16">
            <w:pPr>
              <w:snapToGrid w:val="0"/>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审查标准</w:t>
            </w:r>
          </w:p>
        </w:tc>
      </w:tr>
      <w:tr w14:paraId="0F08B01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301" w:type="dxa"/>
            <w:tcBorders>
              <w:top w:val="single" w:color="auto" w:sz="6" w:space="0"/>
              <w:left w:val="single" w:color="auto" w:sz="6" w:space="0"/>
              <w:bottom w:val="single" w:color="auto" w:sz="6" w:space="0"/>
              <w:right w:val="single" w:color="auto" w:sz="6" w:space="0"/>
            </w:tcBorders>
            <w:vAlign w:val="center"/>
          </w:tcPr>
          <w:p w14:paraId="412D737F">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法人授权书</w:t>
            </w:r>
          </w:p>
        </w:tc>
        <w:tc>
          <w:tcPr>
            <w:tcW w:w="4912" w:type="dxa"/>
            <w:tcBorders>
              <w:top w:val="single" w:color="auto" w:sz="6" w:space="0"/>
              <w:left w:val="single" w:color="auto" w:sz="6" w:space="0"/>
              <w:bottom w:val="single" w:color="auto" w:sz="6" w:space="0"/>
              <w:right w:val="single" w:color="auto" w:sz="6" w:space="0"/>
            </w:tcBorders>
            <w:vAlign w:val="center"/>
          </w:tcPr>
          <w:p w14:paraId="4698FBE6">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0B351A7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301" w:type="dxa"/>
            <w:tcBorders>
              <w:top w:val="single" w:color="auto" w:sz="6" w:space="0"/>
              <w:left w:val="single" w:color="auto" w:sz="6" w:space="0"/>
              <w:bottom w:val="single" w:color="auto" w:sz="6" w:space="0"/>
              <w:right w:val="single" w:color="auto" w:sz="6" w:space="0"/>
            </w:tcBorders>
            <w:vAlign w:val="center"/>
          </w:tcPr>
          <w:p w14:paraId="2315B57A">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szCs w:val="24"/>
                <w:highlight w:val="none"/>
                <w:lang w:val="en-US" w:eastAsia="zh-CN" w:bidi="ar-SA"/>
              </w:rPr>
              <w:t>开标一览表及投标报价</w:t>
            </w:r>
          </w:p>
        </w:tc>
        <w:tc>
          <w:tcPr>
            <w:tcW w:w="4912" w:type="dxa"/>
            <w:tcBorders>
              <w:top w:val="single" w:color="auto" w:sz="6" w:space="0"/>
              <w:left w:val="single" w:color="auto" w:sz="6" w:space="0"/>
              <w:bottom w:val="single" w:color="auto" w:sz="6" w:space="0"/>
              <w:right w:val="single" w:color="auto" w:sz="6" w:space="0"/>
            </w:tcBorders>
            <w:vAlign w:val="center"/>
          </w:tcPr>
          <w:p w14:paraId="6555ED50">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r w14:paraId="7E93822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4301" w:type="dxa"/>
            <w:tcBorders>
              <w:top w:val="single" w:color="auto" w:sz="6" w:space="0"/>
              <w:left w:val="single" w:color="auto" w:sz="6" w:space="0"/>
              <w:bottom w:val="single" w:color="auto" w:sz="6" w:space="0"/>
              <w:right w:val="single" w:color="auto" w:sz="6" w:space="0"/>
            </w:tcBorders>
            <w:vAlign w:val="center"/>
          </w:tcPr>
          <w:p w14:paraId="25EFABAB">
            <w:pPr>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其他</w:t>
            </w:r>
          </w:p>
        </w:tc>
        <w:tc>
          <w:tcPr>
            <w:tcW w:w="4912" w:type="dxa"/>
            <w:tcBorders>
              <w:top w:val="single" w:color="auto" w:sz="6" w:space="0"/>
              <w:left w:val="single" w:color="auto" w:sz="6" w:space="0"/>
              <w:bottom w:val="single" w:color="auto" w:sz="6" w:space="0"/>
              <w:right w:val="single" w:color="auto" w:sz="6" w:space="0"/>
            </w:tcBorders>
            <w:vAlign w:val="center"/>
          </w:tcPr>
          <w:p w14:paraId="3F6561A6">
            <w:pPr>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符合招标文件要求</w:t>
            </w:r>
          </w:p>
        </w:tc>
      </w:tr>
    </w:tbl>
    <w:p w14:paraId="2852D31E">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三、评标方法</w:t>
      </w:r>
    </w:p>
    <w:p w14:paraId="235AE372">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本项目采用综合评分法，评标结果按评审后得分由高到低顺序排列。得分相同的，按投标报价由低到高顺序排序。得分且投标报价相同的并列。</w:t>
      </w:r>
    </w:p>
    <w:p w14:paraId="439218A4">
      <w:pPr>
        <w:spacing w:line="48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综合评分保留至小数点后两位。</w:t>
      </w:r>
    </w:p>
    <w:p w14:paraId="70F4F65E">
      <w:pPr>
        <w:spacing w:line="480" w:lineRule="exact"/>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评标委员会根据评标后投标人排序推荐中标候选人，并形成评标报告。招标文件未规定的评标标准不得作为评标的依据。</w:t>
      </w:r>
    </w:p>
    <w:p w14:paraId="5408EF11">
      <w:pPr>
        <w:spacing w:line="480" w:lineRule="exact"/>
        <w:ind w:firstLine="482" w:firstLineChars="200"/>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四、评标标准</w:t>
      </w:r>
    </w:p>
    <w:tbl>
      <w:tblPr>
        <w:tblStyle w:val="55"/>
        <w:tblpPr w:leftFromText="180" w:rightFromText="180" w:vertAnchor="text" w:tblpXSpec="center" w:tblpY="1"/>
        <w:tblOverlap w:val="never"/>
        <w:tblW w:w="9395" w:type="dxa"/>
        <w:tblInd w:w="0" w:type="dxa"/>
        <w:tblLayout w:type="autofit"/>
        <w:tblCellMar>
          <w:top w:w="0" w:type="dxa"/>
          <w:left w:w="108" w:type="dxa"/>
          <w:bottom w:w="0" w:type="dxa"/>
          <w:right w:w="108" w:type="dxa"/>
        </w:tblCellMar>
      </w:tblPr>
      <w:tblGrid>
        <w:gridCol w:w="2236"/>
        <w:gridCol w:w="698"/>
        <w:gridCol w:w="6461"/>
      </w:tblGrid>
      <w:tr w14:paraId="4C6340F6">
        <w:tblPrEx>
          <w:tblCellMar>
            <w:top w:w="0" w:type="dxa"/>
            <w:left w:w="108" w:type="dxa"/>
            <w:bottom w:w="0" w:type="dxa"/>
            <w:right w:w="108" w:type="dxa"/>
          </w:tblCellMar>
        </w:tblPrEx>
        <w:trPr>
          <w:tblHeader/>
        </w:trPr>
        <w:tc>
          <w:tcPr>
            <w:tcW w:w="2236" w:type="dxa"/>
            <w:tcBorders>
              <w:top w:val="single" w:color="000000" w:sz="4" w:space="0"/>
              <w:left w:val="single" w:color="000000" w:sz="4" w:space="0"/>
              <w:bottom w:val="single" w:color="000000" w:sz="4" w:space="0"/>
              <w:right w:val="single" w:color="000000" w:sz="4" w:space="0"/>
            </w:tcBorders>
            <w:noWrap/>
            <w:vAlign w:val="center"/>
          </w:tcPr>
          <w:p w14:paraId="6CA4A0FF">
            <w:pPr>
              <w:keepNext/>
              <w:widowControl/>
              <w:snapToGrid w:val="0"/>
              <w:jc w:val="center"/>
              <w:textAlignment w:val="center"/>
              <w:rPr>
                <w:rFonts w:hint="eastAsia" w:ascii="方正仿宋_GB2312" w:hAnsi="方正仿宋_GB2312" w:eastAsia="方正仿宋_GB2312" w:cs="方正仿宋_GB2312"/>
                <w:b/>
                <w:color w:val="auto"/>
                <w:kern w:val="2"/>
                <w:sz w:val="24"/>
                <w:szCs w:val="24"/>
                <w:highlight w:val="none"/>
              </w:rPr>
            </w:pPr>
            <w:r>
              <w:rPr>
                <w:rFonts w:hint="eastAsia" w:ascii="方正仿宋_GB2312" w:hAnsi="方正仿宋_GB2312" w:eastAsia="方正仿宋_GB2312" w:cs="方正仿宋_GB2312"/>
                <w:b/>
                <w:color w:val="auto"/>
                <w:sz w:val="24"/>
                <w:szCs w:val="24"/>
                <w:highlight w:val="none"/>
                <w:lang w:bidi="ar"/>
              </w:rPr>
              <w:t>评分项目</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2C14349">
            <w:pPr>
              <w:keepNext/>
              <w:widowControl/>
              <w:snapToGrid w:val="0"/>
              <w:jc w:val="center"/>
              <w:textAlignment w:val="center"/>
              <w:rPr>
                <w:rFonts w:hint="eastAsia" w:ascii="方正仿宋_GB2312" w:hAnsi="方正仿宋_GB2312" w:eastAsia="方正仿宋_GB2312" w:cs="方正仿宋_GB2312"/>
                <w:b/>
                <w:color w:val="auto"/>
                <w:kern w:val="2"/>
                <w:sz w:val="24"/>
                <w:szCs w:val="24"/>
                <w:highlight w:val="none"/>
              </w:rPr>
            </w:pPr>
            <w:r>
              <w:rPr>
                <w:rFonts w:hint="eastAsia" w:ascii="方正仿宋_GB2312" w:hAnsi="方正仿宋_GB2312" w:eastAsia="方正仿宋_GB2312" w:cs="方正仿宋_GB2312"/>
                <w:b/>
                <w:color w:val="auto"/>
                <w:sz w:val="24"/>
                <w:szCs w:val="24"/>
                <w:highlight w:val="none"/>
                <w:lang w:bidi="ar"/>
              </w:rPr>
              <w:t>分值</w:t>
            </w:r>
          </w:p>
        </w:tc>
        <w:tc>
          <w:tcPr>
            <w:tcW w:w="6461" w:type="dxa"/>
            <w:tcBorders>
              <w:top w:val="single" w:color="000000" w:sz="4" w:space="0"/>
              <w:left w:val="single" w:color="000000" w:sz="4" w:space="0"/>
              <w:bottom w:val="single" w:color="000000" w:sz="4" w:space="0"/>
              <w:right w:val="single" w:color="000000" w:sz="4" w:space="0"/>
            </w:tcBorders>
            <w:noWrap/>
            <w:vAlign w:val="center"/>
          </w:tcPr>
          <w:p w14:paraId="4B3F09AE">
            <w:pPr>
              <w:keepNext/>
              <w:widowControl/>
              <w:snapToGrid w:val="0"/>
              <w:jc w:val="center"/>
              <w:textAlignment w:val="center"/>
              <w:rPr>
                <w:rFonts w:hint="eastAsia" w:ascii="方正仿宋_GB2312" w:hAnsi="方正仿宋_GB2312" w:eastAsia="方正仿宋_GB2312" w:cs="方正仿宋_GB2312"/>
                <w:b/>
                <w:color w:val="auto"/>
                <w:kern w:val="2"/>
                <w:sz w:val="24"/>
                <w:szCs w:val="24"/>
                <w:highlight w:val="none"/>
              </w:rPr>
            </w:pPr>
            <w:r>
              <w:rPr>
                <w:rFonts w:hint="eastAsia" w:ascii="方正仿宋_GB2312" w:hAnsi="方正仿宋_GB2312" w:eastAsia="方正仿宋_GB2312" w:cs="方正仿宋_GB2312"/>
                <w:b/>
                <w:color w:val="auto"/>
                <w:sz w:val="24"/>
                <w:szCs w:val="24"/>
                <w:highlight w:val="none"/>
                <w:lang w:bidi="ar"/>
              </w:rPr>
              <w:t>评分准则</w:t>
            </w:r>
          </w:p>
        </w:tc>
      </w:tr>
      <w:tr w14:paraId="021EFEFF">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noWrap/>
            <w:vAlign w:val="center"/>
          </w:tcPr>
          <w:p w14:paraId="16C00BAA">
            <w:pPr>
              <w:keepNext/>
              <w:widowControl/>
              <w:snapToGrid w:val="0"/>
              <w:jc w:val="left"/>
              <w:textAlignment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bidi="ar"/>
              </w:rPr>
              <w:t>投标价</w:t>
            </w:r>
          </w:p>
        </w:tc>
        <w:tc>
          <w:tcPr>
            <w:tcW w:w="698" w:type="dxa"/>
            <w:tcBorders>
              <w:top w:val="single" w:color="000000" w:sz="4" w:space="0"/>
              <w:left w:val="single" w:color="000000" w:sz="4" w:space="0"/>
              <w:bottom w:val="single" w:color="000000" w:sz="4" w:space="0"/>
              <w:right w:val="single" w:color="000000" w:sz="4" w:space="0"/>
            </w:tcBorders>
            <w:vAlign w:val="center"/>
          </w:tcPr>
          <w:p w14:paraId="608C3A9E">
            <w:pPr>
              <w:keepNext/>
              <w:widowControl/>
              <w:snapToGrid w:val="0"/>
              <w:jc w:val="right"/>
              <w:textAlignment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bidi="ar"/>
              </w:rPr>
              <w:t>30</w:t>
            </w:r>
          </w:p>
        </w:tc>
        <w:tc>
          <w:tcPr>
            <w:tcW w:w="6461" w:type="dxa"/>
            <w:tcBorders>
              <w:top w:val="single" w:color="000000" w:sz="4" w:space="0"/>
              <w:left w:val="single" w:color="000000" w:sz="4" w:space="0"/>
              <w:bottom w:val="single" w:color="000000" w:sz="4" w:space="0"/>
              <w:right w:val="single" w:color="000000" w:sz="4" w:space="0"/>
            </w:tcBorders>
            <w:vAlign w:val="center"/>
          </w:tcPr>
          <w:p w14:paraId="7EB1B2A2">
            <w:pPr>
              <w:keepNext/>
              <w:snapToGrid w:val="0"/>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采用低价优先法计算，即满足招标文件要求且投标报价最低的报价为评审基准价，其价格分为满分。其他投标人报价得分＝（评标基准价/投标人报价）×30。</w:t>
            </w:r>
            <w:r>
              <w:rPr>
                <w:rFonts w:hint="eastAsia" w:ascii="方正仿宋_GB2312" w:hAnsi="方正仿宋_GB2312" w:eastAsia="方正仿宋_GB2312" w:cs="方正仿宋_GB2312"/>
                <w:b/>
                <w:bCs/>
                <w:color w:val="auto"/>
                <w:kern w:val="2"/>
                <w:sz w:val="24"/>
                <w:szCs w:val="24"/>
                <w:highlight w:val="none"/>
              </w:rPr>
              <w:t>根据《政府采购促进中小企业发展管理办法》规定，对小、微型企业产品的价格给予10%的扣除，用扣除后的价格参与评审。</w:t>
            </w:r>
          </w:p>
        </w:tc>
      </w:tr>
      <w:tr w14:paraId="468E1AEE">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12A10150">
            <w:pPr>
              <w:keepNext/>
              <w:widowControl/>
              <w:snapToGrid w:val="0"/>
              <w:jc w:val="left"/>
              <w:textAlignment w:val="center"/>
              <w:rPr>
                <w:rFonts w:hint="eastAsia" w:ascii="方正仿宋_GB2312" w:hAnsi="方正仿宋_GB2312" w:eastAsia="方正仿宋_GB2312" w:cs="方正仿宋_GB2312"/>
                <w:color w:val="auto"/>
                <w:sz w:val="24"/>
                <w:szCs w:val="24"/>
                <w:highlight w:val="none"/>
                <w:lang w:bidi="ar"/>
              </w:rPr>
            </w:pPr>
            <w:r>
              <w:rPr>
                <w:rFonts w:hint="eastAsia" w:ascii="方正仿宋_GB2312" w:hAnsi="方正仿宋_GB2312" w:eastAsia="方正仿宋_GB2312" w:cs="方正仿宋_GB2312"/>
                <w:color w:val="auto"/>
                <w:sz w:val="24"/>
                <w:szCs w:val="24"/>
                <w:highlight w:val="none"/>
                <w:lang w:bidi="ar"/>
              </w:rPr>
              <w:t>技术参数响应</w:t>
            </w:r>
          </w:p>
        </w:tc>
        <w:tc>
          <w:tcPr>
            <w:tcW w:w="698" w:type="dxa"/>
            <w:tcBorders>
              <w:top w:val="single" w:color="000000" w:sz="4" w:space="0"/>
              <w:left w:val="single" w:color="000000" w:sz="4" w:space="0"/>
              <w:bottom w:val="single" w:color="000000" w:sz="4" w:space="0"/>
              <w:right w:val="single" w:color="000000" w:sz="4" w:space="0"/>
            </w:tcBorders>
            <w:vAlign w:val="center"/>
          </w:tcPr>
          <w:p w14:paraId="2932E669">
            <w:pPr>
              <w:keepNext/>
              <w:widowControl/>
              <w:snapToGrid w:val="0"/>
              <w:jc w:val="right"/>
              <w:textAlignment w:val="center"/>
              <w:rPr>
                <w:rFonts w:hint="default"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39</w:t>
            </w:r>
          </w:p>
        </w:tc>
        <w:tc>
          <w:tcPr>
            <w:tcW w:w="6461" w:type="dxa"/>
            <w:tcBorders>
              <w:top w:val="single" w:color="000000" w:sz="4" w:space="0"/>
              <w:left w:val="single" w:color="000000" w:sz="4" w:space="0"/>
              <w:bottom w:val="single" w:color="000000" w:sz="4" w:space="0"/>
              <w:right w:val="single" w:color="000000" w:sz="4" w:space="0"/>
            </w:tcBorders>
            <w:vAlign w:val="center"/>
          </w:tcPr>
          <w:p w14:paraId="75F8AD33">
            <w:pPr>
              <w:widowControl/>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本项目所投产品技术参数完全满足招标文件技术指标要求的得45分。带“★”部分技术参数不接受任何负偏离，否则作无效标处理；标注“▲”</w:t>
            </w:r>
            <w:r>
              <w:rPr>
                <w:rFonts w:hint="eastAsia" w:ascii="方正仿宋_GB2312" w:hAnsi="方正仿宋_GB2312" w:eastAsia="方正仿宋_GB2312" w:cs="方正仿宋_GB2312"/>
                <w:color w:val="auto"/>
                <w:sz w:val="24"/>
                <w:szCs w:val="24"/>
                <w:highlight w:val="none"/>
                <w:rtl w:val="0"/>
                <w:lang w:val="en-US" w:eastAsia="zh-CN"/>
              </w:rPr>
              <w:t>符号</w:t>
            </w:r>
            <w:r>
              <w:rPr>
                <w:rFonts w:hint="eastAsia" w:ascii="方正仿宋_GB2312" w:hAnsi="方正仿宋_GB2312" w:eastAsia="方正仿宋_GB2312" w:cs="方正仿宋_GB2312"/>
                <w:color w:val="auto"/>
                <w:sz w:val="24"/>
                <w:szCs w:val="24"/>
                <w:highlight w:val="none"/>
                <w:lang w:val="en-US" w:eastAsia="zh-CN"/>
              </w:rPr>
              <w:t>的为重要技术参数，每有一项（共10项）负偏离扣3分；其他技术参数</w:t>
            </w:r>
            <w:r>
              <w:rPr>
                <w:rFonts w:hint="eastAsia" w:ascii="方正仿宋_GB2312" w:hAnsi="方正仿宋_GB2312" w:eastAsia="方正仿宋_GB2312" w:cs="方正仿宋_GB2312"/>
                <w:color w:val="auto"/>
                <w:sz w:val="24"/>
                <w:szCs w:val="24"/>
                <w:highlight w:val="none"/>
                <w:lang w:val="en-US" w:eastAsia="zh-CN"/>
              </w:rPr>
              <w:t>（共18项）</w:t>
            </w:r>
            <w:r>
              <w:rPr>
                <w:rFonts w:hint="eastAsia" w:ascii="方正仿宋_GB2312" w:hAnsi="方正仿宋_GB2312" w:eastAsia="方正仿宋_GB2312" w:cs="方正仿宋_GB2312"/>
                <w:color w:val="auto"/>
                <w:sz w:val="24"/>
                <w:szCs w:val="24"/>
                <w:highlight w:val="none"/>
                <w:lang w:val="en-US" w:eastAsia="zh-CN"/>
              </w:rPr>
              <w:t>每有一项负偏离扣</w:t>
            </w:r>
            <w:r>
              <w:rPr>
                <w:rFonts w:hint="eastAsia" w:ascii="方正仿宋_GB2312" w:hAnsi="方正仿宋_GB2312" w:eastAsia="方正仿宋_GB2312" w:cs="方正仿宋_GB2312"/>
                <w:color w:val="auto"/>
                <w:sz w:val="24"/>
                <w:szCs w:val="24"/>
                <w:highlight w:val="none"/>
                <w:lang w:val="en-US" w:eastAsia="zh-CN"/>
              </w:rPr>
              <w:t>0.5分</w:t>
            </w:r>
            <w:r>
              <w:rPr>
                <w:rFonts w:hint="eastAsia" w:ascii="方正仿宋_GB2312" w:hAnsi="方正仿宋_GB2312" w:eastAsia="方正仿宋_GB2312" w:cs="方正仿宋_GB2312"/>
                <w:color w:val="auto"/>
                <w:sz w:val="24"/>
                <w:szCs w:val="24"/>
                <w:highlight w:val="none"/>
                <w:lang w:val="en-US" w:eastAsia="zh-CN"/>
              </w:rPr>
              <w:t>，扣完为止。</w:t>
            </w:r>
          </w:p>
          <w:p w14:paraId="1C6301BD">
            <w:pPr>
              <w:keepNext/>
              <w:snapToGrid w:val="0"/>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注：投标人针对本项评分内容在投标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p>
        </w:tc>
      </w:tr>
      <w:tr w14:paraId="2A7AF797">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7A291FC6">
            <w:pPr>
              <w:keepNext/>
              <w:widowControl/>
              <w:snapToGrid w:val="0"/>
              <w:jc w:val="left"/>
              <w:textAlignment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bidi="ar"/>
              </w:rPr>
              <w:t>投标人业绩</w:t>
            </w:r>
          </w:p>
        </w:tc>
        <w:tc>
          <w:tcPr>
            <w:tcW w:w="698" w:type="dxa"/>
            <w:tcBorders>
              <w:top w:val="single" w:color="000000" w:sz="4" w:space="0"/>
              <w:left w:val="single" w:color="000000" w:sz="4" w:space="0"/>
              <w:bottom w:val="single" w:color="000000" w:sz="4" w:space="0"/>
              <w:right w:val="single" w:color="000000" w:sz="4" w:space="0"/>
            </w:tcBorders>
            <w:vAlign w:val="center"/>
          </w:tcPr>
          <w:p w14:paraId="16B4F668">
            <w:pPr>
              <w:keepNext/>
              <w:widowControl/>
              <w:snapToGrid w:val="0"/>
              <w:jc w:val="right"/>
              <w:textAlignment w:val="center"/>
              <w:rPr>
                <w:rFonts w:hint="default" w:ascii="方正仿宋_GB2312" w:hAnsi="方正仿宋_GB2312" w:eastAsia="方正仿宋_GB2312" w:cs="方正仿宋_GB2312"/>
                <w:color w:val="auto"/>
                <w:kern w:val="2"/>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bidi="ar"/>
              </w:rPr>
              <w:t>6</w:t>
            </w:r>
          </w:p>
        </w:tc>
        <w:tc>
          <w:tcPr>
            <w:tcW w:w="6461" w:type="dxa"/>
            <w:tcBorders>
              <w:top w:val="single" w:color="000000" w:sz="4" w:space="0"/>
              <w:left w:val="single" w:color="000000" w:sz="4" w:space="0"/>
              <w:bottom w:val="single" w:color="000000" w:sz="4" w:space="0"/>
              <w:right w:val="single" w:color="000000" w:sz="4" w:space="0"/>
            </w:tcBorders>
            <w:vAlign w:val="center"/>
          </w:tcPr>
          <w:p w14:paraId="375DA78F">
            <w:pPr>
              <w:keepNext/>
              <w:snapToGrid w:val="0"/>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投标人提供自2023年1月1日（以合同签订时间为准）以来承担过类似项目业绩，每有一项业绩得</w:t>
            </w:r>
            <w:r>
              <w:rPr>
                <w:rFonts w:hint="eastAsia" w:ascii="方正仿宋_GB2312" w:hAnsi="方正仿宋_GB2312" w:eastAsia="方正仿宋_GB2312" w:cs="方正仿宋_GB2312"/>
                <w:color w:val="auto"/>
                <w:kern w:val="2"/>
                <w:sz w:val="24"/>
                <w:szCs w:val="24"/>
                <w:highlight w:val="none"/>
                <w:lang w:val="en-US" w:eastAsia="zh-CN"/>
              </w:rPr>
              <w:t>2</w:t>
            </w:r>
            <w:r>
              <w:rPr>
                <w:rFonts w:hint="eastAsia" w:ascii="方正仿宋_GB2312" w:hAnsi="方正仿宋_GB2312" w:eastAsia="方正仿宋_GB2312" w:cs="方正仿宋_GB2312"/>
                <w:color w:val="auto"/>
                <w:kern w:val="2"/>
                <w:sz w:val="24"/>
                <w:szCs w:val="24"/>
                <w:highlight w:val="none"/>
              </w:rPr>
              <w:t>分，本项最高得</w:t>
            </w:r>
            <w:r>
              <w:rPr>
                <w:rFonts w:hint="eastAsia" w:ascii="方正仿宋_GB2312" w:hAnsi="方正仿宋_GB2312" w:eastAsia="方正仿宋_GB2312" w:cs="方正仿宋_GB2312"/>
                <w:color w:val="auto"/>
                <w:kern w:val="2"/>
                <w:sz w:val="24"/>
                <w:szCs w:val="24"/>
                <w:highlight w:val="none"/>
                <w:lang w:val="en-US" w:eastAsia="zh-CN"/>
              </w:rPr>
              <w:t>6</w:t>
            </w:r>
            <w:r>
              <w:rPr>
                <w:rFonts w:hint="eastAsia" w:ascii="方正仿宋_GB2312" w:hAnsi="方正仿宋_GB2312" w:eastAsia="方正仿宋_GB2312" w:cs="方正仿宋_GB2312"/>
                <w:color w:val="auto"/>
                <w:kern w:val="2"/>
                <w:sz w:val="24"/>
                <w:szCs w:val="24"/>
                <w:highlight w:val="none"/>
              </w:rPr>
              <w:t>分。</w:t>
            </w:r>
          </w:p>
          <w:p w14:paraId="157AFE50">
            <w:pPr>
              <w:keepNext/>
              <w:snapToGrid w:val="0"/>
              <w:jc w:val="left"/>
              <w:rPr>
                <w:rFonts w:hint="eastAsia" w:ascii="方正仿宋_GB2312" w:hAnsi="方正仿宋_GB2312" w:eastAsia="方正仿宋_GB2312" w:cs="方正仿宋_GB2312"/>
                <w:color w:val="auto"/>
                <w:kern w:val="2"/>
                <w:sz w:val="24"/>
                <w:szCs w:val="24"/>
                <w:highlight w:val="none"/>
                <w:lang w:val="en-US" w:eastAsia="zh-CN"/>
              </w:rPr>
            </w:pPr>
            <w:r>
              <w:rPr>
                <w:rFonts w:hint="eastAsia" w:ascii="方正仿宋_GB2312" w:hAnsi="方正仿宋_GB2312" w:eastAsia="方正仿宋_GB2312" w:cs="方正仿宋_GB2312"/>
                <w:color w:val="auto"/>
                <w:kern w:val="2"/>
                <w:sz w:val="24"/>
                <w:szCs w:val="24"/>
                <w:highlight w:val="none"/>
              </w:rPr>
              <w:t>注：</w:t>
            </w:r>
            <w:r>
              <w:rPr>
                <w:rFonts w:hint="eastAsia" w:ascii="方正仿宋_GB2312" w:hAnsi="方正仿宋_GB2312" w:eastAsia="方正仿宋_GB2312" w:cs="方正仿宋_GB2312"/>
                <w:color w:val="auto"/>
                <w:kern w:val="2"/>
                <w:sz w:val="24"/>
                <w:szCs w:val="24"/>
                <w:highlight w:val="none"/>
                <w:lang w:val="en-US" w:eastAsia="zh-CN"/>
              </w:rPr>
              <w:t>提供</w:t>
            </w:r>
            <w:r>
              <w:rPr>
                <w:rFonts w:hint="eastAsia" w:ascii="方正仿宋_GB2312" w:hAnsi="方正仿宋_GB2312" w:eastAsia="方正仿宋_GB2312" w:cs="方正仿宋_GB2312"/>
                <w:color w:val="auto"/>
                <w:kern w:val="2"/>
                <w:sz w:val="24"/>
                <w:szCs w:val="24"/>
                <w:highlight w:val="none"/>
                <w:lang w:val="en-US" w:eastAsia="zh-CN"/>
              </w:rPr>
              <w:t>合同</w:t>
            </w:r>
            <w:r>
              <w:rPr>
                <w:rFonts w:hint="eastAsia" w:ascii="方正仿宋_GB2312" w:hAnsi="方正仿宋_GB2312" w:eastAsia="方正仿宋_GB2312" w:cs="方正仿宋_GB2312"/>
                <w:color w:val="auto"/>
                <w:kern w:val="2"/>
                <w:sz w:val="24"/>
                <w:szCs w:val="24"/>
                <w:highlight w:val="none"/>
                <w:lang w:val="en-US" w:eastAsia="zh-CN"/>
              </w:rPr>
              <w:t>证明材料，材料主要内容清晰可见，否则不得分。</w:t>
            </w:r>
          </w:p>
        </w:tc>
      </w:tr>
      <w:tr w14:paraId="6EC7464F">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0F163CAF">
            <w:pPr>
              <w:widowControl/>
              <w:jc w:val="left"/>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项目实施</w:t>
            </w:r>
            <w:r>
              <w:rPr>
                <w:rFonts w:hint="eastAsia" w:ascii="方正仿宋_GB2312" w:hAnsi="方正仿宋_GB2312" w:eastAsia="方正仿宋_GB2312" w:cs="方正仿宋_GB2312"/>
                <w:color w:val="auto"/>
                <w:sz w:val="24"/>
                <w:szCs w:val="24"/>
                <w:highlight w:val="none"/>
                <w:lang w:val="en-US" w:eastAsia="zh-CN"/>
              </w:rPr>
              <w:t>计划</w:t>
            </w:r>
          </w:p>
        </w:tc>
        <w:tc>
          <w:tcPr>
            <w:tcW w:w="698" w:type="dxa"/>
            <w:tcBorders>
              <w:top w:val="single" w:color="000000" w:sz="4" w:space="0"/>
              <w:left w:val="single" w:color="000000" w:sz="4" w:space="0"/>
              <w:bottom w:val="single" w:color="000000" w:sz="4" w:space="0"/>
              <w:right w:val="single" w:color="000000" w:sz="4" w:space="0"/>
            </w:tcBorders>
            <w:vAlign w:val="center"/>
          </w:tcPr>
          <w:p w14:paraId="2EF8293E">
            <w:pPr>
              <w:keepNext/>
              <w:widowControl/>
              <w:snapToGrid w:val="0"/>
              <w:jc w:val="right"/>
              <w:textAlignment w:val="center"/>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7</w:t>
            </w:r>
          </w:p>
        </w:tc>
        <w:tc>
          <w:tcPr>
            <w:tcW w:w="6461" w:type="dxa"/>
            <w:tcBorders>
              <w:top w:val="single" w:color="000000" w:sz="4" w:space="0"/>
              <w:left w:val="single" w:color="000000" w:sz="4" w:space="0"/>
              <w:bottom w:val="single" w:color="000000" w:sz="4" w:space="0"/>
              <w:right w:val="single" w:color="000000" w:sz="4" w:space="0"/>
            </w:tcBorders>
            <w:vAlign w:val="center"/>
          </w:tcPr>
          <w:p w14:paraId="66013C3B">
            <w:pPr>
              <w:widowControl/>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根据供应商提供的现场安装、进度安排、质量和现场管理方案等进行打分。方案内容详细完善、进度安排把控到位、管理措施完备、优于招标文件需求的得7分；方案内容完整、具有管理措施，能够满足招标文件需求的得4分；方案内容存在缺陷，通过后期优化能够实现招标文件需求的得1分；没有内容或其情况不满足招标文件需求的不得分。</w:t>
            </w:r>
          </w:p>
        </w:tc>
      </w:tr>
      <w:tr w14:paraId="7603D1F6">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22B3C8C6">
            <w:pPr>
              <w:widowControl/>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质量保证措施</w:t>
            </w:r>
          </w:p>
        </w:tc>
        <w:tc>
          <w:tcPr>
            <w:tcW w:w="698" w:type="dxa"/>
            <w:tcBorders>
              <w:top w:val="single" w:color="000000" w:sz="4" w:space="0"/>
              <w:left w:val="single" w:color="000000" w:sz="4" w:space="0"/>
              <w:bottom w:val="single" w:color="000000" w:sz="4" w:space="0"/>
              <w:right w:val="single" w:color="000000" w:sz="4" w:space="0"/>
            </w:tcBorders>
            <w:vAlign w:val="center"/>
          </w:tcPr>
          <w:p w14:paraId="38009088">
            <w:pPr>
              <w:keepNext/>
              <w:widowControl/>
              <w:snapToGrid w:val="0"/>
              <w:jc w:val="right"/>
              <w:textAlignment w:val="center"/>
              <w:rPr>
                <w:rFonts w:hint="default"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7</w:t>
            </w:r>
          </w:p>
        </w:tc>
        <w:tc>
          <w:tcPr>
            <w:tcW w:w="6461" w:type="dxa"/>
            <w:tcBorders>
              <w:top w:val="single" w:color="000000" w:sz="4" w:space="0"/>
              <w:left w:val="single" w:color="000000" w:sz="4" w:space="0"/>
              <w:bottom w:val="single" w:color="000000" w:sz="4" w:space="0"/>
              <w:right w:val="single" w:color="000000" w:sz="4" w:space="0"/>
            </w:tcBorders>
            <w:vAlign w:val="center"/>
          </w:tcPr>
          <w:p w14:paraId="0101687D">
            <w:pPr>
              <w:widowControl/>
              <w:jc w:val="lef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根据供应商对本项目的质量保证方案，含人员配置、质保期保障、问题响应与应急处理机制等内容进行综合打分：方案完整全面，保障措施科学可行，响应机制高效，优于招标文件需求的得7分；方案完整，保障措施合理可行，能够满足招标文件需求的得4分；方案框架完整，核心内容存在一定缺漏，通过后期优化能够实现招标文件需求的得1分；没有内容或其情况不满足招标文件需求的不得分。</w:t>
            </w:r>
          </w:p>
        </w:tc>
      </w:tr>
      <w:tr w14:paraId="349E7D39">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64A74848">
            <w:pPr>
              <w:widowControl/>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售后服务方案</w:t>
            </w:r>
          </w:p>
        </w:tc>
        <w:tc>
          <w:tcPr>
            <w:tcW w:w="698" w:type="dxa"/>
            <w:tcBorders>
              <w:top w:val="single" w:color="000000" w:sz="4" w:space="0"/>
              <w:left w:val="single" w:color="000000" w:sz="4" w:space="0"/>
              <w:bottom w:val="single" w:color="000000" w:sz="4" w:space="0"/>
              <w:right w:val="single" w:color="000000" w:sz="4" w:space="0"/>
            </w:tcBorders>
            <w:vAlign w:val="center"/>
          </w:tcPr>
          <w:p w14:paraId="1B1AFF33">
            <w:pPr>
              <w:keepNext/>
              <w:widowControl/>
              <w:snapToGrid w:val="0"/>
              <w:jc w:val="right"/>
              <w:textAlignment w:val="center"/>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6</w:t>
            </w:r>
          </w:p>
        </w:tc>
        <w:tc>
          <w:tcPr>
            <w:tcW w:w="6461" w:type="dxa"/>
            <w:tcBorders>
              <w:top w:val="single" w:color="000000" w:sz="4" w:space="0"/>
              <w:left w:val="single" w:color="000000" w:sz="4" w:space="0"/>
              <w:bottom w:val="single" w:color="000000" w:sz="4" w:space="0"/>
              <w:right w:val="single" w:color="000000" w:sz="4" w:space="0"/>
            </w:tcBorders>
            <w:vAlign w:val="center"/>
          </w:tcPr>
          <w:p w14:paraId="53995251">
            <w:pPr>
              <w:widowControl/>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根据供应商提供售后服务方案，需有详细的售后服务计划、承诺、服务期限、响应时间、上门时间、应急处理方案、本地化服务团队及质保期满后零配件维修折扣等。注：评标委员会对投标文件进行打分，方案科学、严密、合理，描述详细且具有针对性，能优于采购需求得6分，方案基本合理、描述比较详细、存在可操作性的，能够满足采购需求得4分，方案具有不合理项、描述欠缺、存在实施难度但承诺经过优化可实现采购需求得2分，没有内容或其情况不满足招标文件需求的不得分。</w:t>
            </w:r>
          </w:p>
        </w:tc>
      </w:tr>
      <w:tr w14:paraId="3784D06F">
        <w:tblPrEx>
          <w:tblCellMar>
            <w:top w:w="0" w:type="dxa"/>
            <w:left w:w="108" w:type="dxa"/>
            <w:bottom w:w="0" w:type="dxa"/>
            <w:right w:w="108" w:type="dxa"/>
          </w:tblCellMar>
        </w:tblPrEx>
        <w:tc>
          <w:tcPr>
            <w:tcW w:w="2236" w:type="dxa"/>
            <w:tcBorders>
              <w:top w:val="single" w:color="000000" w:sz="4" w:space="0"/>
              <w:left w:val="single" w:color="000000" w:sz="4" w:space="0"/>
              <w:bottom w:val="single" w:color="000000" w:sz="4" w:space="0"/>
              <w:right w:val="single" w:color="000000" w:sz="4" w:space="0"/>
            </w:tcBorders>
            <w:vAlign w:val="center"/>
          </w:tcPr>
          <w:p w14:paraId="7CF1F45A">
            <w:pPr>
              <w:widowControl/>
              <w:jc w:val="left"/>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培训方案</w:t>
            </w:r>
          </w:p>
        </w:tc>
        <w:tc>
          <w:tcPr>
            <w:tcW w:w="698" w:type="dxa"/>
            <w:tcBorders>
              <w:top w:val="single" w:color="000000" w:sz="4" w:space="0"/>
              <w:left w:val="single" w:color="000000" w:sz="4" w:space="0"/>
              <w:bottom w:val="single" w:color="000000" w:sz="4" w:space="0"/>
              <w:right w:val="single" w:color="000000" w:sz="4" w:space="0"/>
            </w:tcBorders>
            <w:vAlign w:val="center"/>
          </w:tcPr>
          <w:p w14:paraId="5F88E5FD">
            <w:pPr>
              <w:keepNext/>
              <w:widowControl/>
              <w:snapToGrid w:val="0"/>
              <w:jc w:val="right"/>
              <w:textAlignment w:val="center"/>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5</w:t>
            </w:r>
          </w:p>
        </w:tc>
        <w:tc>
          <w:tcPr>
            <w:tcW w:w="6461" w:type="dxa"/>
            <w:tcBorders>
              <w:top w:val="single" w:color="000000" w:sz="4" w:space="0"/>
              <w:left w:val="single" w:color="000000" w:sz="4" w:space="0"/>
              <w:bottom w:val="single" w:color="000000" w:sz="4" w:space="0"/>
              <w:right w:val="single" w:color="000000" w:sz="4" w:space="0"/>
            </w:tcBorders>
            <w:vAlign w:val="center"/>
          </w:tcPr>
          <w:p w14:paraId="15542EC1">
            <w:pPr>
              <w:widowControl/>
              <w:jc w:val="lef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根据供应商提供的培训服务方案，包括培训内容、培训形式、培训时间等。培训方案详细、方式灵活多样，优于采购需求的，得5分；培训方案内容完整、方式一般，能够满足采购需求的，得3分；培训方案尚内容完整，经过优化可以满足采购需求的，得1分；没有内容或其情况不满足招标文件需求的不得分。</w:t>
            </w:r>
          </w:p>
        </w:tc>
      </w:tr>
    </w:tbl>
    <w:p w14:paraId="216E629D">
      <w:pPr>
        <w:spacing w:line="480" w:lineRule="exact"/>
        <w:ind w:firstLine="883" w:firstLineChars="200"/>
        <w:jc w:val="center"/>
        <w:outlineLvl w:val="0"/>
        <w:rPr>
          <w:rFonts w:hint="eastAsia" w:ascii="方正仿宋_GB2312" w:hAnsi="方正仿宋_GB2312" w:eastAsia="方正仿宋_GB2312" w:cs="方正仿宋_GB2312"/>
          <w:b/>
          <w:color w:val="auto"/>
          <w:sz w:val="44"/>
          <w:szCs w:val="44"/>
          <w:highlight w:val="none"/>
        </w:rPr>
      </w:pPr>
    </w:p>
    <w:p w14:paraId="31FDA0D3">
      <w:pPr>
        <w:spacing w:line="480" w:lineRule="exact"/>
        <w:jc w:val="both"/>
        <w:outlineLvl w:val="0"/>
        <w:rPr>
          <w:rFonts w:hint="eastAsia" w:ascii="方正仿宋_GB2312" w:hAnsi="方正仿宋_GB2312" w:eastAsia="方正仿宋_GB2312" w:cs="方正仿宋_GB2312"/>
          <w:b/>
          <w:color w:val="auto"/>
          <w:sz w:val="44"/>
          <w:szCs w:val="44"/>
          <w:highlight w:val="none"/>
        </w:rPr>
      </w:pPr>
    </w:p>
    <w:p w14:paraId="40AD160E">
      <w:pPr>
        <w:spacing w:line="480" w:lineRule="exact"/>
        <w:ind w:firstLine="883" w:firstLineChars="200"/>
        <w:jc w:val="center"/>
        <w:outlineLvl w:val="0"/>
        <w:rPr>
          <w:rFonts w:hint="eastAsia"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44"/>
          <w:szCs w:val="44"/>
          <w:highlight w:val="none"/>
        </w:rPr>
        <w:br w:type="page"/>
      </w:r>
      <w:bookmarkStart w:id="126" w:name="_Toc45"/>
      <w:r>
        <w:rPr>
          <w:rFonts w:hint="eastAsia" w:ascii="方正仿宋_GB2312" w:hAnsi="方正仿宋_GB2312" w:eastAsia="方正仿宋_GB2312" w:cs="方正仿宋_GB2312"/>
          <w:b/>
          <w:bCs/>
          <w:color w:val="auto"/>
          <w:sz w:val="44"/>
          <w:szCs w:val="44"/>
          <w:highlight w:val="none"/>
        </w:rPr>
        <w:t>第四章  采购需求</w:t>
      </w:r>
      <w:bookmarkEnd w:id="120"/>
      <w:bookmarkEnd w:id="122"/>
      <w:bookmarkEnd w:id="123"/>
      <w:bookmarkEnd w:id="124"/>
      <w:bookmarkEnd w:id="125"/>
      <w:bookmarkEnd w:id="126"/>
    </w:p>
    <w:p w14:paraId="2AE445C6">
      <w:pPr>
        <w:pStyle w:val="260"/>
        <w:ind w:firstLine="482" w:firstLineChars="200"/>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一、采购标的清单</w:t>
      </w:r>
    </w:p>
    <w:tbl>
      <w:tblPr>
        <w:tblStyle w:val="55"/>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9"/>
        <w:gridCol w:w="4902"/>
        <w:gridCol w:w="3765"/>
      </w:tblGrid>
      <w:tr w14:paraId="4217E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729" w:type="dxa"/>
            <w:vAlign w:val="center"/>
          </w:tcPr>
          <w:p w14:paraId="7A1FEA42">
            <w:pPr>
              <w:snapToGrid w:val="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4902" w:type="dxa"/>
            <w:vAlign w:val="center"/>
          </w:tcPr>
          <w:p w14:paraId="548FDECB">
            <w:pPr>
              <w:snapToGrid w:val="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标的名称</w:t>
            </w:r>
          </w:p>
        </w:tc>
        <w:tc>
          <w:tcPr>
            <w:tcW w:w="3765" w:type="dxa"/>
            <w:vAlign w:val="center"/>
          </w:tcPr>
          <w:p w14:paraId="63C39695">
            <w:pPr>
              <w:snapToGrid w:val="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对应中小企业划分标准所属行业</w:t>
            </w:r>
          </w:p>
        </w:tc>
      </w:tr>
      <w:tr w14:paraId="6EE10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vAlign w:val="center"/>
          </w:tcPr>
          <w:p w14:paraId="4BD446A4">
            <w:pP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902" w:type="dxa"/>
            <w:vAlign w:val="center"/>
          </w:tcPr>
          <w:p w14:paraId="05E682F2">
            <w:pPr>
              <w:snapToGrid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三重四极杆质谱仪采购</w:t>
            </w:r>
          </w:p>
        </w:tc>
        <w:tc>
          <w:tcPr>
            <w:tcW w:w="3765" w:type="dxa"/>
            <w:vAlign w:val="center"/>
          </w:tcPr>
          <w:p w14:paraId="41311F44">
            <w:pPr>
              <w:snapToGrid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工业（</w:t>
            </w:r>
            <w:r>
              <w:rPr>
                <w:rFonts w:hint="eastAsia" w:ascii="仿宋" w:hAnsi="仿宋" w:eastAsia="仿宋" w:cs="仿宋"/>
                <w:color w:val="auto"/>
                <w:sz w:val="24"/>
                <w:szCs w:val="24"/>
                <w:highlight w:val="none"/>
                <w:lang w:eastAsia="zh-CN"/>
              </w:rPr>
              <w:t>制造业）</w:t>
            </w:r>
          </w:p>
        </w:tc>
      </w:tr>
    </w:tbl>
    <w:p w14:paraId="1583C7F7">
      <w:pPr>
        <w:numPr>
          <w:ilvl w:val="0"/>
          <w:numId w:val="3"/>
        </w:numPr>
        <w:spacing w:line="400" w:lineRule="exact"/>
        <w:ind w:firstLine="482" w:firstLineChars="200"/>
        <w:rPr>
          <w:rFonts w:hint="eastAsia" w:ascii="方正仿宋_GB2312" w:hAnsi="方正仿宋_GB2312" w:eastAsia="方正仿宋_GB2312" w:cs="方正仿宋_GB2312"/>
          <w:b/>
          <w:color w:val="auto"/>
          <w:sz w:val="24"/>
          <w:szCs w:val="24"/>
          <w:highlight w:val="none"/>
        </w:rPr>
      </w:pPr>
      <w:bookmarkStart w:id="127" w:name="_Toc31499"/>
      <w:bookmarkStart w:id="128" w:name="_Toc81575206"/>
      <w:bookmarkStart w:id="129" w:name="_Toc81575169"/>
      <w:bookmarkStart w:id="130" w:name="_Toc22098"/>
      <w:r>
        <w:rPr>
          <w:rFonts w:hint="eastAsia" w:ascii="方正仿宋_GB2312" w:hAnsi="方正仿宋_GB2312" w:eastAsia="方正仿宋_GB2312" w:cs="方正仿宋_GB2312"/>
          <w:b/>
          <w:color w:val="auto"/>
          <w:sz w:val="24"/>
          <w:szCs w:val="24"/>
          <w:highlight w:val="none"/>
        </w:rPr>
        <w:t>项目概况</w:t>
      </w:r>
    </w:p>
    <w:p w14:paraId="0C5F3980">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1.项目名称：三重四极杆质谱仪采购</w:t>
      </w:r>
    </w:p>
    <w:p w14:paraId="04E57B52">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2.预算金额及最高限价：300万元</w:t>
      </w:r>
    </w:p>
    <w:p w14:paraId="13C461E6">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8"/>
          <w:highlight w:val="none"/>
          <w:lang w:val="en-US" w:eastAsia="zh-CN"/>
        </w:rPr>
        <w:t>3.合同履行期限：</w:t>
      </w:r>
      <w:r>
        <w:rPr>
          <w:rFonts w:hint="eastAsia" w:ascii="方正仿宋_GB2312" w:hAnsi="方正仿宋_GB2312" w:eastAsia="方正仿宋_GB2312" w:cs="方正仿宋_GB2312"/>
          <w:color w:val="auto"/>
          <w:sz w:val="24"/>
          <w:szCs w:val="24"/>
          <w:highlight w:val="none"/>
          <w:lang w:eastAsia="zh-CN"/>
        </w:rPr>
        <w:t>合同签订后30日历天完成供货并安装调试完毕</w:t>
      </w:r>
      <w:r>
        <w:rPr>
          <w:rFonts w:hint="eastAsia" w:ascii="方正仿宋_GB2312" w:hAnsi="方正仿宋_GB2312" w:eastAsia="方正仿宋_GB2312" w:cs="方正仿宋_GB2312"/>
          <w:color w:val="auto"/>
          <w:sz w:val="24"/>
          <w:szCs w:val="24"/>
          <w:highlight w:val="none"/>
        </w:rPr>
        <w:t>。</w:t>
      </w:r>
    </w:p>
    <w:p w14:paraId="02973362">
      <w:pPr>
        <w:spacing w:line="480" w:lineRule="exact"/>
        <w:ind w:firstLine="480" w:firstLineChars="20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4.质量要求：合格</w:t>
      </w:r>
      <w:r>
        <w:rPr>
          <w:rFonts w:hint="eastAsia" w:ascii="仿宋" w:hAnsi="仿宋" w:eastAsia="仿宋" w:cs="仿宋"/>
          <w:color w:val="auto"/>
          <w:sz w:val="24"/>
          <w:szCs w:val="24"/>
          <w:highlight w:val="none"/>
          <w:lang w:val="en-US" w:eastAsia="zh-CN" w:bidi="ar-SA"/>
        </w:rPr>
        <w:t>，供应商提供的产品（含软件、技术等）必须为原装正品，严禁贴牌、伪造，应为全新未使用的产品，性能及质量有国家标准的应符合国家标准。无国家标准的应符合行业标准或企业标准，且以满足项目验收为准，项目产品及服务须满足采购人采购需求、技术参数等</w:t>
      </w:r>
      <w:r>
        <w:rPr>
          <w:rFonts w:hint="eastAsia" w:ascii="方正仿宋_GB2312" w:hAnsi="方正仿宋_GB2312" w:eastAsia="方正仿宋_GB2312" w:cs="方正仿宋_GB2312"/>
          <w:color w:val="auto"/>
          <w:sz w:val="24"/>
          <w:szCs w:val="24"/>
          <w:highlight w:val="none"/>
          <w:lang w:val="en-US" w:eastAsia="zh-CN"/>
        </w:rPr>
        <w:t>。</w:t>
      </w:r>
    </w:p>
    <w:p w14:paraId="2B06B2B0">
      <w:pPr>
        <w:spacing w:line="480" w:lineRule="exact"/>
        <w:ind w:firstLine="480" w:firstLineChars="200"/>
        <w:rPr>
          <w:rFonts w:hint="eastAsia" w:eastAsia="宋体"/>
          <w:color w:val="auto"/>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5.免费质保期：5年，自验收合格之日起算</w:t>
      </w:r>
      <w:r>
        <w:rPr>
          <w:rFonts w:hint="eastAsia" w:ascii="方正仿宋_GB2312" w:hAnsi="方正仿宋_GB2312" w:eastAsia="方正仿宋_GB2312" w:cs="方正仿宋_GB2312"/>
          <w:b/>
          <w:bCs/>
          <w:color w:val="auto"/>
          <w:sz w:val="24"/>
          <w:szCs w:val="24"/>
          <w:highlight w:val="none"/>
          <w:lang w:val="en-US" w:eastAsia="zh-CN"/>
        </w:rPr>
        <w:t>（由设备生产厂家提供质保服务）</w:t>
      </w:r>
      <w:r>
        <w:rPr>
          <w:rFonts w:hint="eastAsia" w:ascii="方正仿宋_GB2312" w:hAnsi="方正仿宋_GB2312" w:eastAsia="方正仿宋_GB2312" w:cs="方正仿宋_GB2312"/>
          <w:color w:val="auto"/>
          <w:sz w:val="24"/>
          <w:szCs w:val="24"/>
          <w:highlight w:val="none"/>
          <w:lang w:val="en-US" w:eastAsia="zh-CN"/>
        </w:rPr>
        <w:t>。</w:t>
      </w:r>
    </w:p>
    <w:p w14:paraId="55FAB74E">
      <w:pPr>
        <w:numPr>
          <w:ilvl w:val="0"/>
          <w:numId w:val="3"/>
        </w:numPr>
        <w:spacing w:line="400" w:lineRule="exact"/>
        <w:ind w:firstLine="482" w:firstLineChars="200"/>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付款方式</w:t>
      </w:r>
    </w:p>
    <w:p w14:paraId="248D59C1">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对于满足合同约定支付条件的，自收到发票后10个工作日内将资金支付到合同约定的供应商账户或供应商数字人民币账户。</w:t>
      </w:r>
    </w:p>
    <w:p w14:paraId="5373C4C6">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1</w:t>
      </w:r>
      <w:r>
        <w:rPr>
          <w:rFonts w:hint="eastAsia" w:ascii="方正仿宋_GB2312" w:hAnsi="方正仿宋_GB2312" w:eastAsia="方正仿宋_GB2312" w:cs="方正仿宋_GB2312"/>
          <w:color w:val="auto"/>
          <w:sz w:val="24"/>
          <w:szCs w:val="28"/>
          <w:highlight w:val="none"/>
          <w:lang w:val="en-US" w:eastAsia="zh-CN"/>
        </w:rPr>
        <w:t>.</w:t>
      </w:r>
      <w:r>
        <w:rPr>
          <w:rFonts w:hint="default" w:ascii="方正仿宋_GB2312" w:hAnsi="方正仿宋_GB2312" w:eastAsia="方正仿宋_GB2312" w:cs="方正仿宋_GB2312"/>
          <w:color w:val="auto"/>
          <w:sz w:val="24"/>
          <w:szCs w:val="28"/>
          <w:highlight w:val="none"/>
          <w:lang w:val="en-US" w:eastAsia="zh-CN"/>
        </w:rPr>
        <w:t>合同签订</w:t>
      </w:r>
      <w:r>
        <w:rPr>
          <w:rFonts w:hint="eastAsia" w:ascii="方正仿宋_GB2312" w:hAnsi="方正仿宋_GB2312" w:eastAsia="方正仿宋_GB2312" w:cs="方正仿宋_GB2312"/>
          <w:color w:val="auto"/>
          <w:sz w:val="24"/>
          <w:szCs w:val="28"/>
          <w:highlight w:val="none"/>
          <w:lang w:val="en-US" w:eastAsia="zh-CN"/>
        </w:rPr>
        <w:t>后</w:t>
      </w:r>
      <w:r>
        <w:rPr>
          <w:rFonts w:hint="default" w:ascii="方正仿宋_GB2312" w:hAnsi="方正仿宋_GB2312" w:eastAsia="方正仿宋_GB2312" w:cs="方正仿宋_GB2312"/>
          <w:color w:val="auto"/>
          <w:sz w:val="24"/>
          <w:szCs w:val="28"/>
          <w:highlight w:val="none"/>
          <w:lang w:val="en-US" w:eastAsia="zh-CN"/>
        </w:rPr>
        <w:t>，支付合同价款的30%作为预付款；</w:t>
      </w:r>
    </w:p>
    <w:p w14:paraId="7DDD063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2.完成供货并安装调试完毕，且经验收合格后，付清剩余款项。</w:t>
      </w:r>
    </w:p>
    <w:p w14:paraId="4A7DA9F2">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注：（1）供应商未按采购人要求提供发票的，采购人有权不予付款，同时不免除供应商的合同履行义务，采购人有权在应付款项中直接扣除应由供应商承担的违约金及其他相关款项。</w:t>
      </w:r>
    </w:p>
    <w:p w14:paraId="65C2EE70">
      <w:pPr>
        <w:spacing w:line="480" w:lineRule="exact"/>
        <w:ind w:firstLine="482" w:firstLineChars="200"/>
        <w:jc w:val="lef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（2）在签订合同时，中标人明确表示无需预付款或者主动要求降低预付款比例的金额，采购人可不适用预付款规定。</w:t>
      </w:r>
    </w:p>
    <w:p w14:paraId="2A832404">
      <w:pPr>
        <w:numPr>
          <w:ilvl w:val="0"/>
          <w:numId w:val="3"/>
        </w:numPr>
        <w:spacing w:line="400" w:lineRule="exact"/>
        <w:ind w:left="0" w:leftChars="0" w:firstLine="482" w:firstLineChars="200"/>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产品配置要求</w:t>
      </w:r>
    </w:p>
    <w:p w14:paraId="13415C30">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4.1 三重四极杆质谱仪主机（配独立的ESI和APCI离子源，APCI喷雾针2根和ESI喷雾针8根）1套</w:t>
      </w:r>
    </w:p>
    <w:p w14:paraId="52738B85">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4.2 UPS 不间断电源</w:t>
      </w:r>
      <w:r>
        <w:rPr>
          <w:rFonts w:hint="eastAsia" w:ascii="方正仿宋_GB2312" w:hAnsi="方正仿宋_GB2312" w:eastAsia="方正仿宋_GB2312" w:cs="方正仿宋_GB2312"/>
          <w:b/>
          <w:color w:val="auto"/>
          <w:sz w:val="24"/>
          <w:szCs w:val="24"/>
          <w:highlight w:val="none"/>
          <w:lang w:val="en-US" w:eastAsia="zh-CN"/>
        </w:rPr>
        <w:t>（无市电情况下保证所投产品工作</w:t>
      </w:r>
      <w:r>
        <w:rPr>
          <w:rFonts w:hint="default" w:ascii="方正仿宋_GB2312" w:hAnsi="方正仿宋_GB2312" w:eastAsia="方正仿宋_GB2312" w:cs="方正仿宋_GB2312"/>
          <w:b/>
          <w:color w:val="auto"/>
          <w:sz w:val="24"/>
          <w:szCs w:val="24"/>
          <w:highlight w:val="none"/>
          <w:lang w:val="en-US" w:eastAsia="zh-CN"/>
        </w:rPr>
        <w:t>≥</w:t>
      </w:r>
      <w:r>
        <w:rPr>
          <w:rFonts w:hint="eastAsia" w:ascii="方正仿宋_GB2312" w:hAnsi="方正仿宋_GB2312" w:eastAsia="方正仿宋_GB2312" w:cs="方正仿宋_GB2312"/>
          <w:b/>
          <w:color w:val="auto"/>
          <w:sz w:val="24"/>
          <w:szCs w:val="24"/>
          <w:highlight w:val="none"/>
          <w:lang w:val="en-US" w:eastAsia="zh-CN"/>
        </w:rPr>
        <w:t>2小时）</w:t>
      </w:r>
      <w:r>
        <w:rPr>
          <w:rFonts w:hint="eastAsia" w:ascii="方正仿宋_GB2312" w:hAnsi="方正仿宋_GB2312" w:eastAsia="方正仿宋_GB2312" w:cs="方正仿宋_GB2312"/>
          <w:color w:val="auto"/>
          <w:sz w:val="24"/>
          <w:szCs w:val="28"/>
          <w:highlight w:val="none"/>
          <w:lang w:val="en-US" w:eastAsia="zh-CN"/>
        </w:rPr>
        <w:t xml:space="preserve">           1套</w:t>
      </w:r>
    </w:p>
    <w:p w14:paraId="0E74EB7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4.3 数据处理系统（包括工作站与相关操作分析软件）                     1套</w:t>
      </w:r>
    </w:p>
    <w:p w14:paraId="12A4E352">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4.4 氮气发生器                                                       1台</w:t>
      </w:r>
    </w:p>
    <w:p w14:paraId="55F8B2A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4.5 2mL样品瓶                                                    1000个</w:t>
      </w:r>
    </w:p>
    <w:p w14:paraId="0B5D7A9A">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4.6 季铵化聚乙烯醇的阴离子分析柱  150*4.0mm（内径），５μm（粒径）   1根</w:t>
      </w:r>
    </w:p>
    <w:p w14:paraId="19EFFEC7">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4.7 Acquity CSH 氟苯基色谱柱      100*2.1mm（内径），1.7μm（粒径）   1根</w:t>
      </w:r>
    </w:p>
    <w:p w14:paraId="75C38E1E">
      <w:pPr>
        <w:numPr>
          <w:ilvl w:val="0"/>
          <w:numId w:val="3"/>
        </w:numPr>
        <w:spacing w:line="400" w:lineRule="exact"/>
        <w:ind w:left="0" w:leftChars="0" w:firstLine="482" w:firstLineChars="200"/>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技术参数要求</w:t>
      </w:r>
    </w:p>
    <w:p w14:paraId="53B33177">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1.工作条件</w:t>
      </w:r>
    </w:p>
    <w:p w14:paraId="79D02FD9">
      <w:pPr>
        <w:spacing w:line="480" w:lineRule="exact"/>
        <w:ind w:firstLine="480"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eastAsia" w:ascii="Times New Roman" w:hAnsi="Times New Roman" w:eastAsia="方正仿宋_GB2312" w:cs="Times New Roman"/>
          <w:color w:val="auto"/>
          <w:kern w:val="0"/>
          <w:sz w:val="24"/>
          <w:szCs w:val="28"/>
          <w:highlight w:val="none"/>
          <w:lang w:val="en-US" w:eastAsia="zh-CN"/>
        </w:rPr>
        <w:t xml:space="preserve">1.1 </w:t>
      </w:r>
      <w:r>
        <w:rPr>
          <w:rFonts w:hint="default" w:ascii="Times New Roman" w:hAnsi="Times New Roman" w:eastAsia="方正仿宋_GB2312" w:cs="Times New Roman"/>
          <w:color w:val="auto"/>
          <w:kern w:val="0"/>
          <w:sz w:val="24"/>
          <w:szCs w:val="28"/>
          <w:highlight w:val="none"/>
          <w:lang w:val="en-US" w:eastAsia="zh-CN"/>
        </w:rPr>
        <w:t>电源电压：单相220V，±10%；环境温度：15～30℃；相对湿度：30%～80%；</w:t>
      </w:r>
      <w:r>
        <w:rPr>
          <w:rFonts w:hint="default" w:ascii="Times New Roman" w:hAnsi="Times New Roman" w:eastAsia="方正仿宋_GB2312" w:cs="Times New Roman"/>
          <w:b/>
          <w:bCs/>
          <w:color w:val="auto"/>
          <w:kern w:val="0"/>
          <w:sz w:val="24"/>
          <w:szCs w:val="28"/>
          <w:highlight w:val="none"/>
          <w:lang w:val="en-US" w:eastAsia="zh-CN"/>
        </w:rPr>
        <w:t>配备实验室环境保障设备</w:t>
      </w:r>
      <w:r>
        <w:rPr>
          <w:rFonts w:hint="default" w:ascii="Times New Roman" w:hAnsi="Times New Roman" w:eastAsia="方正仿宋_GB2312" w:cs="Times New Roman"/>
          <w:color w:val="auto"/>
          <w:kern w:val="0"/>
          <w:sz w:val="24"/>
          <w:szCs w:val="28"/>
          <w:highlight w:val="none"/>
          <w:lang w:val="en-US" w:eastAsia="zh-CN"/>
        </w:rPr>
        <w:t>，</w:t>
      </w:r>
      <w:r>
        <w:rPr>
          <w:rFonts w:hint="default" w:ascii="Times New Roman" w:hAnsi="Times New Roman" w:eastAsia="方正仿宋_GB2312" w:cs="Times New Roman"/>
          <w:b/>
          <w:bCs/>
          <w:color w:val="auto"/>
          <w:kern w:val="0"/>
          <w:sz w:val="24"/>
          <w:szCs w:val="28"/>
          <w:highlight w:val="none"/>
          <w:lang w:val="en-US" w:eastAsia="zh-CN"/>
        </w:rPr>
        <w:t>确保环境温湿度稳定，满足设备正常运行对温湿度的要求。</w:t>
      </w:r>
    </w:p>
    <w:p w14:paraId="42FE2996">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2.系统配置及性能指标</w:t>
      </w:r>
    </w:p>
    <w:p w14:paraId="3748B293">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2.1性能要求</w:t>
      </w:r>
    </w:p>
    <w:p w14:paraId="1D3B91AD">
      <w:pPr>
        <w:spacing w:line="480" w:lineRule="exact"/>
        <w:ind w:firstLine="480"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★2.1.1 质量数范围： m/z  5~2000</w:t>
      </w:r>
      <w:r>
        <w:rPr>
          <w:rFonts w:hint="default" w:ascii="Times New Roman" w:hAnsi="Times New Roman" w:eastAsia="方正仿宋_GB2312" w:cs="Times New Roman"/>
          <w:b/>
          <w:bCs/>
          <w:color w:val="auto"/>
          <w:kern w:val="0"/>
          <w:sz w:val="24"/>
          <w:szCs w:val="28"/>
          <w:highlight w:val="none"/>
          <w:lang w:val="en-US" w:eastAsia="zh-CN"/>
        </w:rPr>
        <w:t>(提供官网截图或厂家白皮书或第三方检测报告，加盖投标人公章）。</w:t>
      </w:r>
    </w:p>
    <w:p w14:paraId="4C7E9CC7">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▲2.1.2 正负切换速度：≤5 ms，三重四极杆质谱扫描速率≥20000 Da/S</w:t>
      </w:r>
      <w:r>
        <w:rPr>
          <w:rFonts w:hint="default" w:ascii="Times New Roman" w:hAnsi="Times New Roman" w:eastAsia="方正仿宋_GB2312" w:cs="Times New Roman"/>
          <w:b/>
          <w:bCs/>
          <w:color w:val="auto"/>
          <w:kern w:val="0"/>
          <w:sz w:val="24"/>
          <w:szCs w:val="28"/>
          <w:highlight w:val="none"/>
          <w:lang w:val="en-US" w:eastAsia="zh-CN"/>
        </w:rPr>
        <w:t>（提供官网截图或厂家白皮书或第三方检测报告或生产厂家承诺书，加盖投标人公章）</w:t>
      </w:r>
      <w:r>
        <w:rPr>
          <w:rFonts w:hint="default" w:ascii="Times New Roman" w:hAnsi="Times New Roman" w:eastAsia="方正仿宋_GB2312" w:cs="Times New Roman"/>
          <w:color w:val="auto"/>
          <w:kern w:val="0"/>
          <w:sz w:val="24"/>
          <w:szCs w:val="28"/>
          <w:highlight w:val="none"/>
          <w:lang w:val="en-US" w:eastAsia="zh-CN"/>
        </w:rPr>
        <w:t>。</w:t>
      </w:r>
    </w:p>
    <w:p w14:paraId="5C4FB7EF">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2.1.3 质量稳定性：＜0.1 amu/24小时。</w:t>
      </w:r>
    </w:p>
    <w:p w14:paraId="6A600374">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2.1.4 质量准确度：&lt;0.01% amu（全质量数范围）。</w:t>
      </w:r>
    </w:p>
    <w:p w14:paraId="44BD9CAD">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2.1.5 离子源基质效应低，奶粉基质中分析氯霉素残留，前处理采用液液萃取和不同的固相萃取柱如HLB、MCX、MIP，基质效应偏差小于2%</w:t>
      </w:r>
      <w:r>
        <w:rPr>
          <w:rFonts w:hint="default" w:ascii="Times New Roman" w:hAnsi="Times New Roman" w:eastAsia="方正仿宋_GB2312" w:cs="Times New Roman"/>
          <w:b/>
          <w:bCs/>
          <w:color w:val="auto"/>
          <w:kern w:val="0"/>
          <w:sz w:val="24"/>
          <w:szCs w:val="28"/>
          <w:highlight w:val="none"/>
          <w:lang w:val="en-US" w:eastAsia="zh-CN"/>
        </w:rPr>
        <w:t>（提供所投型号仪器实验数据作为证明材料，加盖投标人公章）</w:t>
      </w:r>
      <w:r>
        <w:rPr>
          <w:rFonts w:hint="default" w:ascii="Times New Roman" w:hAnsi="Times New Roman" w:eastAsia="方正仿宋_GB2312" w:cs="Times New Roman"/>
          <w:color w:val="auto"/>
          <w:kern w:val="0"/>
          <w:sz w:val="24"/>
          <w:szCs w:val="28"/>
          <w:highlight w:val="none"/>
          <w:lang w:val="en-US" w:eastAsia="zh-CN"/>
        </w:rPr>
        <w:t>。</w:t>
      </w:r>
    </w:p>
    <w:p w14:paraId="7DFFF3FD">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2.2 三重四极杆质量分析器</w:t>
      </w:r>
    </w:p>
    <w:p w14:paraId="409BBEE8">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2.2.1 具有串联MS/MS质谱功能。</w:t>
      </w:r>
    </w:p>
    <w:p w14:paraId="1A65CBB0">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▲2.2.2 碰撞池采用四极场超快速高效离子传输，驻留时间低至2 ms时，灵敏度不损失。</w:t>
      </w:r>
      <w:r>
        <w:rPr>
          <w:rFonts w:hint="default" w:ascii="Times New Roman" w:hAnsi="Times New Roman" w:eastAsia="方正仿宋_GB2312" w:cs="Times New Roman"/>
          <w:b/>
          <w:bCs/>
          <w:color w:val="auto"/>
          <w:kern w:val="0"/>
          <w:sz w:val="24"/>
          <w:szCs w:val="28"/>
          <w:highlight w:val="none"/>
          <w:lang w:val="en-US" w:eastAsia="zh-CN"/>
        </w:rPr>
        <w:t>｛提供所投产品官网上碰撞室截图和所投产品拆机视频（视频内容无剪辑，至少展现出仪器型号、碰撞室结构等内容）；同时提供农药多菌灵在2 ms和10 ms的驻留时间时，灵敏度不损失的谱图及数据证明，以上材料缺一不可</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1490271D">
      <w:pPr>
        <w:spacing w:line="480" w:lineRule="exact"/>
        <w:ind w:firstLine="480" w:firstLineChars="200"/>
        <w:jc w:val="both"/>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▲2.2.3 数据采集动态线性范围：≥4×10</w:t>
      </w:r>
      <w:r>
        <w:rPr>
          <w:rFonts w:hint="default" w:ascii="Times New Roman" w:hAnsi="Times New Roman" w:eastAsia="方正仿宋_GB2312" w:cs="Times New Roman"/>
          <w:color w:val="auto"/>
          <w:kern w:val="0"/>
          <w:sz w:val="24"/>
          <w:szCs w:val="28"/>
          <w:highlight w:val="none"/>
          <w:vertAlign w:val="superscript"/>
          <w:lang w:val="en-US" w:eastAsia="zh-CN"/>
        </w:rPr>
        <w:t>6</w:t>
      </w:r>
      <w:r>
        <w:rPr>
          <w:rFonts w:hint="default" w:ascii="Times New Roman" w:hAnsi="Times New Roman" w:eastAsia="方正仿宋_GB2312" w:cs="Times New Roman"/>
          <w:color w:val="auto"/>
          <w:kern w:val="0"/>
          <w:sz w:val="24"/>
          <w:szCs w:val="28"/>
          <w:highlight w:val="none"/>
          <w:vertAlign w:val="baseline"/>
          <w:lang w:val="en-US" w:eastAsia="zh-CN"/>
        </w:rPr>
        <w:t>，MRM采集速度</w:t>
      </w:r>
      <w:r>
        <w:rPr>
          <w:rFonts w:hint="default" w:ascii="Times New Roman" w:hAnsi="Times New Roman" w:eastAsia="方正仿宋_GB2312" w:cs="Times New Roman"/>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vertAlign w:val="baseline"/>
          <w:lang w:val="en-US" w:eastAsia="zh-CN"/>
        </w:rPr>
        <w:t>500 MRM/s</w:t>
      </w:r>
      <w:r>
        <w:rPr>
          <w:rFonts w:hint="default" w:ascii="Times New Roman" w:hAnsi="Times New Roman" w:eastAsia="方正仿宋_GB2312" w:cs="Times New Roman"/>
          <w:b/>
          <w:bCs/>
          <w:i w:val="0"/>
          <w:iCs w:val="0"/>
          <w:caps w:val="0"/>
          <w:color w:val="auto"/>
          <w:spacing w:val="0"/>
          <w:kern w:val="0"/>
          <w:sz w:val="24"/>
          <w:szCs w:val="28"/>
          <w:highlight w:val="none"/>
          <w:shd w:val="clear"/>
        </w:rPr>
        <w:t>（</w:t>
      </w:r>
      <w:r>
        <w:rPr>
          <w:rFonts w:hint="default" w:ascii="Times New Roman" w:hAnsi="Times New Roman" w:eastAsia="方正仿宋_GB2312" w:cs="Times New Roman"/>
          <w:b/>
          <w:bCs/>
          <w:color w:val="auto"/>
          <w:kern w:val="0"/>
          <w:sz w:val="24"/>
          <w:szCs w:val="28"/>
          <w:highlight w:val="none"/>
          <w:lang w:val="en-US" w:eastAsia="zh-CN"/>
        </w:rPr>
        <w:t>提供官网截图或厂家白皮书或第三方检测报告或生产厂家承诺书，加盖投标人公章</w:t>
      </w:r>
      <w:r>
        <w:rPr>
          <w:rFonts w:hint="default" w:ascii="Times New Roman" w:hAnsi="Times New Roman" w:eastAsia="方正仿宋_GB2312" w:cs="Times New Roman"/>
          <w:b/>
          <w:bCs/>
          <w:i w:val="0"/>
          <w:iCs w:val="0"/>
          <w:caps w:val="0"/>
          <w:color w:val="auto"/>
          <w:spacing w:val="0"/>
          <w:kern w:val="0"/>
          <w:sz w:val="24"/>
          <w:szCs w:val="28"/>
          <w:highlight w:val="none"/>
          <w:shd w:val="clear"/>
        </w:rPr>
        <w:t>）</w:t>
      </w:r>
      <w:r>
        <w:rPr>
          <w:rFonts w:hint="default" w:ascii="Times New Roman" w:hAnsi="Times New Roman" w:eastAsia="方正仿宋_GB2312" w:cs="Times New Roman"/>
          <w:i w:val="0"/>
          <w:iCs w:val="0"/>
          <w:caps w:val="0"/>
          <w:color w:val="auto"/>
          <w:spacing w:val="0"/>
          <w:kern w:val="0"/>
          <w:sz w:val="24"/>
          <w:szCs w:val="28"/>
          <w:highlight w:val="none"/>
          <w:shd w:val="clear"/>
        </w:rPr>
        <w:t>。</w:t>
      </w:r>
    </w:p>
    <w:p w14:paraId="5C530609">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2.2.4 质量分析器：具备Q1和Q3，均采用四极杆设计的三重四极杆质谱仪结构及全部扫描功能，一次进样同时获得多重反应监测定量图谱及各组分一级和二级全扫描质谱图。</w:t>
      </w:r>
      <w:r>
        <w:rPr>
          <w:rFonts w:hint="default" w:ascii="Times New Roman" w:hAnsi="Times New Roman" w:eastAsia="方正仿宋_GB2312" w:cs="Times New Roman"/>
          <w:b/>
          <w:bCs/>
          <w:color w:val="auto"/>
          <w:kern w:val="0"/>
          <w:sz w:val="24"/>
          <w:szCs w:val="28"/>
          <w:highlight w:val="none"/>
          <w:lang w:val="en-US" w:eastAsia="zh-CN"/>
        </w:rPr>
        <w:t>（提供功能截图或检测报告</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05D9D85B">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2.2.5 普通扫描模式：具有全扫描、选择离子扫描、选择反应串联质谱扫描、子离子扫描、母离子扫描、中性丢失扫描、多反应监测扫描、混合扫描、正/负离子快速切换扫描。</w:t>
      </w:r>
    </w:p>
    <w:p w14:paraId="3990AF4C">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2.2.6 MRM靶向模式扫描：提供一针进样同时分</w:t>
      </w:r>
      <w:r>
        <w:rPr>
          <w:rFonts w:hint="default" w:ascii="Times New Roman" w:hAnsi="Times New Roman" w:eastAsia="方正仿宋_GBK" w:cs="Times New Roman"/>
          <w:color w:val="auto"/>
          <w:kern w:val="0"/>
          <w:sz w:val="24"/>
          <w:szCs w:val="28"/>
          <w:highlight w:val="none"/>
          <w:lang w:val="en-US" w:eastAsia="zh-CN"/>
        </w:rPr>
        <w:t>析&gt;200种兽残等化合物，且可同时监测≥6对离子对，提高化合物分析特异性，能有效降低假阳性</w:t>
      </w:r>
      <w:r>
        <w:rPr>
          <w:rFonts w:hint="default" w:eastAsia="方正仿宋_GB2312" w:cs="Times New Roman"/>
          <w:b/>
          <w:bCs/>
          <w:color w:val="auto"/>
          <w:kern w:val="0"/>
          <w:sz w:val="24"/>
          <w:szCs w:val="28"/>
          <w:highlight w:val="none"/>
          <w:lang w:val="en-US" w:eastAsia="zh-CN"/>
        </w:rPr>
        <w:t>（提供</w:t>
      </w:r>
      <w:r>
        <w:rPr>
          <w:rFonts w:hint="eastAsia" w:eastAsia="方正仿宋_GB2312" w:cs="Times New Roman"/>
          <w:b/>
          <w:bCs/>
          <w:color w:val="auto"/>
          <w:kern w:val="0"/>
          <w:sz w:val="24"/>
          <w:szCs w:val="28"/>
          <w:highlight w:val="none"/>
          <w:lang w:val="en-US" w:eastAsia="zh-CN"/>
        </w:rPr>
        <w:t>应用</w:t>
      </w:r>
      <w:r>
        <w:rPr>
          <w:rFonts w:hint="default" w:eastAsia="方正仿宋_GB2312" w:cs="Times New Roman"/>
          <w:b/>
          <w:bCs/>
          <w:color w:val="auto"/>
          <w:kern w:val="0"/>
          <w:sz w:val="24"/>
          <w:szCs w:val="28"/>
          <w:highlight w:val="none"/>
          <w:lang w:val="en-US" w:eastAsia="zh-CN"/>
        </w:rPr>
        <w:t>报告和</w:t>
      </w:r>
      <w:r>
        <w:rPr>
          <w:rFonts w:hint="eastAsia" w:eastAsia="方正仿宋_GB2312" w:cs="Times New Roman"/>
          <w:b/>
          <w:bCs/>
          <w:color w:val="auto"/>
          <w:kern w:val="0"/>
          <w:sz w:val="24"/>
          <w:szCs w:val="28"/>
          <w:highlight w:val="none"/>
          <w:lang w:val="en-US" w:eastAsia="zh-CN"/>
        </w:rPr>
        <w:t>工作站</w:t>
      </w:r>
      <w:r>
        <w:rPr>
          <w:rFonts w:hint="default" w:eastAsia="方正仿宋_GB2312" w:cs="Times New Roman"/>
          <w:b/>
          <w:bCs/>
          <w:color w:val="auto"/>
          <w:kern w:val="0"/>
          <w:sz w:val="24"/>
          <w:szCs w:val="28"/>
          <w:highlight w:val="none"/>
          <w:lang w:val="en-US" w:eastAsia="zh-CN"/>
        </w:rPr>
        <w:t>截图，</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26973A72">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2.2.7 ESI-模式下，100 fg氯霉素，经色谱柱分离保留，依次提取母离子321，子离子152，子离子的信噪比（S/N）＞500:1，连续进样6针要求峰面积重复性RSD(A)&lt;5%</w:t>
      </w:r>
      <w:r>
        <w:rPr>
          <w:rFonts w:hint="default" w:ascii="Times New Roman" w:hAnsi="Times New Roman" w:eastAsia="方正仿宋_GB2312" w:cs="Times New Roman"/>
          <w:b/>
          <w:bCs/>
          <w:color w:val="auto"/>
          <w:kern w:val="0"/>
          <w:sz w:val="24"/>
          <w:szCs w:val="28"/>
          <w:highlight w:val="none"/>
          <w:lang w:val="en-US" w:eastAsia="zh-CN"/>
        </w:rPr>
        <w:t>（提供功能截图或检测报告，加盖投标人公章）</w:t>
      </w:r>
      <w:r>
        <w:rPr>
          <w:rFonts w:hint="default" w:ascii="Times New Roman" w:hAnsi="Times New Roman" w:eastAsia="方正仿宋_GB2312" w:cs="Times New Roman"/>
          <w:color w:val="auto"/>
          <w:kern w:val="0"/>
          <w:sz w:val="24"/>
          <w:szCs w:val="28"/>
          <w:highlight w:val="none"/>
          <w:lang w:val="en-US" w:eastAsia="zh-CN"/>
        </w:rPr>
        <w:t>。</w:t>
      </w:r>
    </w:p>
    <w:p w14:paraId="1FE51C58">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2.2.8 ESI+模式下，1pg克伦特罗，经色谱柱分离保留，依次提取母离子277，子离子203，子离子的信噪比（S/N）＞3000:1；连续进样6针要求峰面积重复性RSD(A)&lt;5%</w:t>
      </w:r>
      <w:r>
        <w:rPr>
          <w:rFonts w:hint="default" w:ascii="Times New Roman" w:hAnsi="Times New Roman" w:eastAsia="方正仿宋_GB2312" w:cs="Times New Roman"/>
          <w:b/>
          <w:bCs/>
          <w:color w:val="auto"/>
          <w:kern w:val="0"/>
          <w:sz w:val="24"/>
          <w:szCs w:val="28"/>
          <w:highlight w:val="none"/>
          <w:lang w:val="en-US" w:eastAsia="zh-CN"/>
        </w:rPr>
        <w:t>（提供功能截图或检测报告，加盖投标人公章）</w:t>
      </w:r>
      <w:r>
        <w:rPr>
          <w:rFonts w:hint="default" w:ascii="Times New Roman" w:hAnsi="Times New Roman" w:eastAsia="方正仿宋_GB2312" w:cs="Times New Roman"/>
          <w:color w:val="auto"/>
          <w:kern w:val="0"/>
          <w:sz w:val="24"/>
          <w:szCs w:val="28"/>
          <w:highlight w:val="none"/>
          <w:lang w:val="en-US" w:eastAsia="zh-CN"/>
        </w:rPr>
        <w:t>。</w:t>
      </w:r>
    </w:p>
    <w:p w14:paraId="39260E8E">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2.2.9 200fg 克伦特罗在MRM与串联四极杆模式子离子同步扫描灵敏度测试，子离子（277/203）响应值信噪比（S/N）</w:t>
      </w:r>
      <w:r>
        <w:rPr>
          <w:rFonts w:hint="default" w:ascii="Times New Roman" w:hAnsi="Times New Roman" w:eastAsia="方正仿宋_GBK" w:cs="Times New Roman"/>
          <w:color w:val="auto"/>
          <w:kern w:val="0"/>
          <w:sz w:val="24"/>
          <w:szCs w:val="28"/>
          <w:highlight w:val="none"/>
          <w:lang w:val="en-US" w:eastAsia="zh-CN"/>
        </w:rPr>
        <w:t>&gt;100:1</w:t>
      </w:r>
      <w:r>
        <w:rPr>
          <w:rFonts w:hint="default" w:ascii="Times New Roman" w:hAnsi="Times New Roman" w:eastAsia="方正仿宋_GB2312" w:cs="Times New Roman"/>
          <w:color w:val="auto"/>
          <w:kern w:val="0"/>
          <w:sz w:val="24"/>
          <w:szCs w:val="28"/>
          <w:highlight w:val="none"/>
          <w:lang w:val="en-US" w:eastAsia="zh-CN"/>
        </w:rPr>
        <w:t>，提供谱图支持文件</w:t>
      </w:r>
      <w:r>
        <w:rPr>
          <w:rFonts w:hint="default" w:ascii="Times New Roman" w:hAnsi="Times New Roman" w:eastAsia="方正仿宋_GB2312" w:cs="Times New Roman"/>
          <w:b/>
          <w:bCs/>
          <w:color w:val="auto"/>
          <w:kern w:val="0"/>
          <w:sz w:val="24"/>
          <w:szCs w:val="28"/>
          <w:highlight w:val="none"/>
          <w:lang w:val="en-US" w:eastAsia="zh-CN"/>
        </w:rPr>
        <w:t>（提供功能截图或检测报告</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74D7E714">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2.2.10 检测器：采用高能打拿极电子倍增管技术或光电倍增管技术，能满足长期大量样品定量分析的数据可靠性和重复性。</w:t>
      </w:r>
    </w:p>
    <w:p w14:paraId="4DF9007A">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2.2.11 气体要求：碰撞气为高纯高惰性氩气或氮气以提升碰撞效率，同时防止碰撞气与目标离子发生反应。</w:t>
      </w:r>
    </w:p>
    <w:p w14:paraId="679C43D1">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2.3 灵敏度</w:t>
      </w:r>
    </w:p>
    <w:p w14:paraId="783B6E9F">
      <w:pPr>
        <w:spacing w:line="480" w:lineRule="exact"/>
        <w:ind w:firstLine="480"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 xml:space="preserve">▲2.3.1 ESI+：进样1 pg利血平，原始非平滑数据的信噪比≥3000,000:1，重复性小于3% </w:t>
      </w:r>
      <w:r>
        <w:rPr>
          <w:rFonts w:hint="default" w:ascii="Times New Roman" w:hAnsi="Times New Roman" w:eastAsia="方正仿宋_GB2312" w:cs="Times New Roman"/>
          <w:b/>
          <w:bCs/>
          <w:color w:val="auto"/>
          <w:kern w:val="0"/>
          <w:sz w:val="24"/>
          <w:szCs w:val="28"/>
          <w:highlight w:val="none"/>
          <w:lang w:val="en-US" w:eastAsia="zh-CN"/>
        </w:rPr>
        <w:t>（提供第三方认证机构出具的所投仪器型号的检测报告；提供该实验流动相仅为乙腈和超纯水的证明</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color w:val="auto"/>
          <w:kern w:val="0"/>
          <w:sz w:val="24"/>
          <w:szCs w:val="28"/>
          <w:highlight w:val="none"/>
          <w:lang w:val="en-US" w:eastAsia="zh-CN"/>
        </w:rPr>
        <w:t>以上材料缺一不可，</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p>
    <w:p w14:paraId="170873D2">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 xml:space="preserve">▲2.3.2 ESI-：进样1 pg氯霉素，原始非平滑数据的信噪比≥3000,000:1，重复性小于3% </w:t>
      </w:r>
      <w:r>
        <w:rPr>
          <w:rFonts w:hint="default" w:ascii="Times New Roman" w:hAnsi="Times New Roman" w:eastAsia="方正仿宋_GB2312" w:cs="Times New Roman"/>
          <w:b/>
          <w:bCs/>
          <w:color w:val="auto"/>
          <w:kern w:val="0"/>
          <w:sz w:val="24"/>
          <w:szCs w:val="28"/>
          <w:highlight w:val="none"/>
          <w:lang w:val="en-US" w:eastAsia="zh-CN"/>
        </w:rPr>
        <w:t>（提供第三方认证机构出具的所投仪器型号的检测报告；提供该实验流动相仅为乙腈和超纯水的证明，以上材料缺一不可，</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b w:val="0"/>
          <w:bCs w:val="0"/>
          <w:color w:val="auto"/>
          <w:kern w:val="0"/>
          <w:sz w:val="24"/>
          <w:szCs w:val="28"/>
          <w:highlight w:val="none"/>
          <w:lang w:val="en-US" w:eastAsia="zh-CN"/>
        </w:rPr>
        <w:t>。</w:t>
      </w:r>
    </w:p>
    <w:p w14:paraId="4C6F05FB">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▲2.3.3 APCI源：进样1pg利血平（APCI+）和1pg氯霉素（APCI-），原始非平滑数据的信噪比≥150,000:1</w:t>
      </w:r>
      <w:r>
        <w:rPr>
          <w:rFonts w:hint="default" w:ascii="Times New Roman" w:hAnsi="Times New Roman" w:eastAsia="方正仿宋_GB2312" w:cs="Times New Roman"/>
          <w:b/>
          <w:bCs/>
          <w:color w:val="auto"/>
          <w:kern w:val="0"/>
          <w:sz w:val="24"/>
          <w:szCs w:val="28"/>
          <w:highlight w:val="none"/>
          <w:lang w:val="en-US" w:eastAsia="zh-CN"/>
        </w:rPr>
        <w:t>（提供第三方认证机构出具的所投仪器型号的检测报告；提供该实验流动相仅为乙腈和超纯水的证明</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color w:val="auto"/>
          <w:kern w:val="0"/>
          <w:sz w:val="24"/>
          <w:szCs w:val="28"/>
          <w:highlight w:val="none"/>
          <w:lang w:val="en-US" w:eastAsia="zh-CN"/>
        </w:rPr>
        <w:t>以上材料缺一不可，</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58530B8A">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 xml:space="preserve">2.3.4 </w:t>
      </w:r>
      <w:r>
        <w:rPr>
          <w:rFonts w:hint="default" w:ascii="Times New Roman" w:hAnsi="Times New Roman" w:eastAsia="方正仿宋_GB2312" w:cs="Times New Roman"/>
          <w:color w:val="auto"/>
          <w:kern w:val="0"/>
          <w:sz w:val="24"/>
          <w:szCs w:val="24"/>
          <w:highlight w:val="none"/>
          <w:lang w:val="en-US" w:eastAsia="zh-CN"/>
        </w:rPr>
        <w:t>生活饮用水样品直接进样分析，一针进样正负离子同时检测200种以上新污染物（农药、药品和个人护理产品等），ESI-模式下2,4-二氯苯氧乙酸（2,4-D）定量限（LOQ）≤0.005 μg/L，6次进样重复性（RSD）&lt;5 %；ESI+模式下3-羟基呋喃丹（3-Hydroxycarbofuran）定量限（LOQ）≤0.001 μg/L，6次进样重复性（RSD）&lt;5 %。</w:t>
      </w:r>
      <w:r>
        <w:rPr>
          <w:rFonts w:hint="default" w:ascii="Times New Roman" w:hAnsi="Times New Roman" w:eastAsia="方正仿宋_GB2312" w:cs="Times New Roman"/>
          <w:b/>
          <w:bCs/>
          <w:color w:val="auto"/>
          <w:kern w:val="0"/>
          <w:sz w:val="24"/>
          <w:szCs w:val="28"/>
          <w:highlight w:val="none"/>
          <w:lang w:val="en-US" w:eastAsia="zh-CN"/>
        </w:rPr>
        <w:t>（提供应用证明文件，包含分析方法和实验数据结果</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6C5C2DD3">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 xml:space="preserve">2.4 离子源和进样方式 </w:t>
      </w:r>
    </w:p>
    <w:p w14:paraId="4F5AA8C2">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▲2.4.1 离子源加热温度≥650 ℃</w:t>
      </w:r>
      <w:r>
        <w:rPr>
          <w:rFonts w:hint="default" w:ascii="Times New Roman" w:hAnsi="Times New Roman" w:eastAsia="方正仿宋_GB2312" w:cs="Times New Roman"/>
          <w:b/>
          <w:bCs/>
          <w:color w:val="auto"/>
          <w:kern w:val="0"/>
          <w:sz w:val="24"/>
          <w:szCs w:val="28"/>
          <w:highlight w:val="none"/>
          <w:lang w:val="en-US" w:eastAsia="zh-CN"/>
        </w:rPr>
        <w:t>（提供所投产品官方数据截图，</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同时提供所投产品在此温度下可在工作站界面下设置并运行视频，配讲解，以上材料缺一不可）</w:t>
      </w:r>
      <w:r>
        <w:rPr>
          <w:rFonts w:hint="default" w:ascii="Times New Roman" w:hAnsi="Times New Roman" w:eastAsia="方正仿宋_GB2312" w:cs="Times New Roman"/>
          <w:color w:val="auto"/>
          <w:kern w:val="0"/>
          <w:sz w:val="24"/>
          <w:szCs w:val="28"/>
          <w:highlight w:val="none"/>
          <w:lang w:val="en-US" w:eastAsia="zh-CN"/>
        </w:rPr>
        <w:t>。</w:t>
      </w:r>
    </w:p>
    <w:p w14:paraId="1D78FAE5">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▲2.4.2 离子源接口采用锥孔结构，无需耗材更换，保证特别强的抗污染能力</w:t>
      </w:r>
      <w:r>
        <w:rPr>
          <w:rFonts w:hint="default" w:ascii="Times New Roman" w:hAnsi="Times New Roman" w:eastAsia="方正仿宋_GB2312" w:cs="Times New Roman"/>
          <w:b/>
          <w:bCs/>
          <w:color w:val="auto"/>
          <w:kern w:val="0"/>
          <w:sz w:val="24"/>
          <w:szCs w:val="28"/>
          <w:highlight w:val="none"/>
          <w:lang w:val="en-US" w:eastAsia="zh-CN"/>
        </w:rPr>
        <w:t>（提供离子源硬件拆解视频，视频要展现上述结构并配讲解）</w:t>
      </w:r>
      <w:r>
        <w:rPr>
          <w:rFonts w:hint="default" w:ascii="Times New Roman" w:hAnsi="Times New Roman" w:eastAsia="方正仿宋_GB2312" w:cs="Times New Roman"/>
          <w:color w:val="auto"/>
          <w:kern w:val="0"/>
          <w:sz w:val="24"/>
          <w:szCs w:val="28"/>
          <w:highlight w:val="none"/>
          <w:lang w:val="en-US" w:eastAsia="zh-CN"/>
        </w:rPr>
        <w:t>。</w:t>
      </w:r>
    </w:p>
    <w:p w14:paraId="778365CA">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2.4.3 ESI流速范围：在确保灵敏度不损失的前提下，实现高流速，它无需分流，即可达到2.0 mL/min。提供农药多菌灵（carbendazim）在不同流速：0.4，0.8，1，2mL/min下，灵敏度不损失的谱图数据。</w:t>
      </w:r>
      <w:r>
        <w:rPr>
          <w:rFonts w:hint="default" w:ascii="Times New Roman" w:hAnsi="Times New Roman" w:eastAsia="方正仿宋_GB2312" w:cs="Times New Roman"/>
          <w:b/>
          <w:bCs/>
          <w:color w:val="auto"/>
          <w:kern w:val="0"/>
          <w:sz w:val="24"/>
          <w:szCs w:val="28"/>
          <w:highlight w:val="none"/>
          <w:lang w:val="en-US" w:eastAsia="zh-CN"/>
        </w:rPr>
        <w:t>（提供所投产品离子源的流速范围官网截图或官网下载资料截图及农药多菌灵（carbendazim）在不同流速：0.4，0.8，1，2mL/min下，灵敏度不损失的谱图数据作为证明材料，以上材料缺一不可</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2A897D17">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2.4.4 正/负APCI接口：流速2.0m</w:t>
      </w:r>
      <w:r>
        <w:rPr>
          <w:rFonts w:hint="eastAsia" w:eastAsia="方正仿宋_GB2312" w:cs="Times New Roman"/>
          <w:color w:val="auto"/>
          <w:kern w:val="0"/>
          <w:sz w:val="24"/>
          <w:szCs w:val="28"/>
          <w:highlight w:val="none"/>
          <w:lang w:val="en-US" w:eastAsia="zh-CN"/>
        </w:rPr>
        <w:t>L</w:t>
      </w:r>
      <w:r>
        <w:rPr>
          <w:rFonts w:hint="default" w:ascii="Times New Roman" w:hAnsi="Times New Roman" w:eastAsia="方正仿宋_GB2312" w:cs="Times New Roman"/>
          <w:color w:val="auto"/>
          <w:kern w:val="0"/>
          <w:sz w:val="24"/>
          <w:szCs w:val="28"/>
          <w:highlight w:val="none"/>
          <w:lang w:val="en-US" w:eastAsia="zh-CN"/>
        </w:rPr>
        <w:t>/min以上不分流。</w:t>
      </w:r>
    </w:p>
    <w:p w14:paraId="23716AA3">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2.4.5 离子源喷雾设计、负压抽气设计，具有自动排废气功能，保证大批量复杂基质样品进样离子源的无污染</w:t>
      </w:r>
      <w:r>
        <w:rPr>
          <w:rFonts w:hint="default" w:ascii="Times New Roman" w:hAnsi="Times New Roman" w:eastAsia="方正仿宋_GB2312" w:cs="Times New Roman"/>
          <w:b/>
          <w:bCs/>
          <w:color w:val="auto"/>
          <w:kern w:val="0"/>
          <w:sz w:val="24"/>
          <w:szCs w:val="28"/>
          <w:highlight w:val="none"/>
          <w:lang w:val="en-US" w:eastAsia="zh-CN"/>
        </w:rPr>
        <w:t>（提供离子源结构图，加盖投标人公章）</w:t>
      </w:r>
      <w:r>
        <w:rPr>
          <w:rFonts w:hint="default" w:ascii="Times New Roman" w:hAnsi="Times New Roman" w:eastAsia="方正仿宋_GB2312" w:cs="Times New Roman"/>
          <w:color w:val="auto"/>
          <w:kern w:val="0"/>
          <w:sz w:val="24"/>
          <w:szCs w:val="28"/>
          <w:highlight w:val="none"/>
          <w:lang w:val="en-US" w:eastAsia="zh-CN"/>
        </w:rPr>
        <w:t>。</w:t>
      </w:r>
    </w:p>
    <w:p w14:paraId="7B033E12">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2.5 数据系统</w:t>
      </w:r>
    </w:p>
    <w:p w14:paraId="720CDABA">
      <w:pPr>
        <w:spacing w:line="480" w:lineRule="exact"/>
        <w:ind w:firstLine="480" w:firstLineChars="200"/>
        <w:jc w:val="left"/>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▲2.5.1 配备4000种以上化合物的质谱方法库；配备4000种以上化合物的二级碎片离子谱图库，其中农药不少于750种、毒物不少于650种</w:t>
      </w:r>
      <w:r>
        <w:rPr>
          <w:rFonts w:hint="default" w:ascii="Times New Roman" w:hAnsi="Times New Roman" w:eastAsia="方正仿宋_GB2312" w:cs="Times New Roman"/>
          <w:b/>
          <w:bCs/>
          <w:color w:val="auto"/>
          <w:kern w:val="0"/>
          <w:sz w:val="24"/>
          <w:szCs w:val="28"/>
          <w:highlight w:val="none"/>
          <w:lang w:val="en-US" w:eastAsia="zh-CN"/>
        </w:rPr>
        <w:t>（提供一针进样筛查</w:t>
      </w:r>
      <w:r>
        <w:rPr>
          <w:rFonts w:hint="default" w:ascii="Times New Roman" w:hAnsi="Times New Roman" w:eastAsia="微软雅黑" w:cs="Times New Roman"/>
          <w:b/>
          <w:bCs/>
          <w:color w:val="auto"/>
          <w:kern w:val="0"/>
          <w:sz w:val="24"/>
          <w:szCs w:val="28"/>
          <w:highlight w:val="none"/>
          <w:lang w:val="en-US" w:eastAsia="zh-CN"/>
        </w:rPr>
        <w:t>&gt;</w:t>
      </w:r>
      <w:r>
        <w:rPr>
          <w:rFonts w:hint="default" w:ascii="Times New Roman" w:hAnsi="Times New Roman" w:eastAsia="方正仿宋_GB2312" w:cs="Times New Roman"/>
          <w:b/>
          <w:bCs/>
          <w:color w:val="auto"/>
          <w:kern w:val="0"/>
          <w:sz w:val="24"/>
          <w:szCs w:val="28"/>
          <w:highlight w:val="none"/>
          <w:lang w:val="en-US" w:eastAsia="zh-CN"/>
        </w:rPr>
        <w:t>600种的应用报告</w:t>
      </w:r>
      <w:r>
        <w:rPr>
          <w:rFonts w:hint="default" w:ascii="Times New Roman" w:hAnsi="Times New Roman" w:eastAsia="方正仿宋_GB2312" w:cs="Times New Roman"/>
          <w:b/>
          <w:bCs/>
          <w:i w:val="0"/>
          <w:iCs w:val="0"/>
          <w:caps w:val="0"/>
          <w:color w:val="auto"/>
          <w:spacing w:val="0"/>
          <w:kern w:val="0"/>
          <w:sz w:val="24"/>
          <w:szCs w:val="28"/>
          <w:highlight w:val="none"/>
          <w:shd w:val="clear"/>
          <w:lang w:eastAsia="zh-CN"/>
        </w:rPr>
        <w:t>，</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加盖投标人公章</w:t>
      </w:r>
      <w:r>
        <w:rPr>
          <w:rFonts w:hint="default" w:ascii="Times New Roman" w:hAnsi="Times New Roman" w:eastAsia="方正仿宋_GB2312" w:cs="Times New Roman"/>
          <w:b/>
          <w:bCs/>
          <w:color w:val="auto"/>
          <w:kern w:val="0"/>
          <w:sz w:val="24"/>
          <w:szCs w:val="28"/>
          <w:highlight w:val="none"/>
          <w:lang w:val="en-US" w:eastAsia="zh-CN"/>
        </w:rPr>
        <w:t>）</w:t>
      </w:r>
      <w:r>
        <w:rPr>
          <w:rFonts w:hint="default" w:ascii="Times New Roman" w:hAnsi="Times New Roman" w:eastAsia="方正仿宋_GB2312" w:cs="Times New Roman"/>
          <w:color w:val="auto"/>
          <w:kern w:val="0"/>
          <w:sz w:val="24"/>
          <w:szCs w:val="28"/>
          <w:highlight w:val="none"/>
          <w:lang w:val="en-US" w:eastAsia="zh-CN"/>
        </w:rPr>
        <w:t>。</w:t>
      </w:r>
    </w:p>
    <w:p w14:paraId="119A19F0">
      <w:pPr>
        <w:spacing w:line="480" w:lineRule="exact"/>
        <w:ind w:firstLine="480" w:firstLineChars="200"/>
        <w:jc w:val="both"/>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★2.5.2 本次所投产品配套原厂质谱工作站，包括仪器控制、数据处理等功能，</w:t>
      </w:r>
      <w:r>
        <w:rPr>
          <w:rFonts w:hint="default" w:ascii="Times New Roman" w:hAnsi="Times New Roman" w:eastAsia="方正仿宋_GB2312" w:cs="Times New Roman"/>
          <w:i w:val="0"/>
          <w:iCs w:val="0"/>
          <w:caps w:val="0"/>
          <w:color w:val="auto"/>
          <w:spacing w:val="0"/>
          <w:kern w:val="0"/>
          <w:sz w:val="24"/>
          <w:szCs w:val="28"/>
          <w:highlight w:val="none"/>
          <w:shd w:val="clear"/>
          <w:lang w:val="en-US" w:eastAsia="zh-CN"/>
        </w:rPr>
        <w:t>并提供</w:t>
      </w:r>
      <w:r>
        <w:rPr>
          <w:rFonts w:hint="default" w:ascii="Times New Roman" w:hAnsi="Times New Roman" w:eastAsia="方正仿宋_GB2312" w:cs="Times New Roman"/>
          <w:i w:val="0"/>
          <w:iCs w:val="0"/>
          <w:caps w:val="0"/>
          <w:color w:val="auto"/>
          <w:spacing w:val="0"/>
          <w:kern w:val="0"/>
          <w:sz w:val="24"/>
          <w:szCs w:val="28"/>
          <w:highlight w:val="none"/>
          <w:shd w:val="clear"/>
        </w:rPr>
        <w:t>终身免费升级</w:t>
      </w:r>
      <w:r>
        <w:rPr>
          <w:rFonts w:hint="default" w:ascii="Times New Roman" w:hAnsi="Times New Roman" w:eastAsia="方正仿宋_GB2312" w:cs="Times New Roman"/>
          <w:i w:val="0"/>
          <w:iCs w:val="0"/>
          <w:caps w:val="0"/>
          <w:color w:val="auto"/>
          <w:spacing w:val="0"/>
          <w:kern w:val="0"/>
          <w:sz w:val="24"/>
          <w:szCs w:val="28"/>
          <w:highlight w:val="none"/>
          <w:shd w:val="clear"/>
          <w:lang w:val="en-US" w:eastAsia="zh-CN"/>
        </w:rPr>
        <w:t>服务</w:t>
      </w:r>
      <w:r>
        <w:rPr>
          <w:rFonts w:hint="default" w:ascii="Times New Roman" w:hAnsi="Times New Roman" w:eastAsia="方正仿宋_GB2312" w:cs="Times New Roman"/>
          <w:color w:val="auto"/>
          <w:kern w:val="0"/>
          <w:sz w:val="24"/>
          <w:szCs w:val="28"/>
          <w:highlight w:val="none"/>
          <w:lang w:val="en-US" w:eastAsia="zh-CN"/>
        </w:rPr>
        <w:t>。</w:t>
      </w:r>
      <w:r>
        <w:rPr>
          <w:rFonts w:hint="default" w:ascii="Times New Roman" w:hAnsi="Times New Roman" w:eastAsia="方正仿宋_GB2312" w:cs="Times New Roman"/>
          <w:b/>
          <w:bCs/>
          <w:color w:val="auto"/>
          <w:kern w:val="0"/>
          <w:sz w:val="24"/>
          <w:szCs w:val="28"/>
          <w:highlight w:val="none"/>
          <w:lang w:val="en-US" w:eastAsia="zh-CN"/>
        </w:rPr>
        <w:t>该工作站可与采购人已有的沃特世（</w:t>
      </w:r>
      <w:r>
        <w:rPr>
          <w:rFonts w:hint="default" w:ascii="Times New Roman" w:hAnsi="Times New Roman" w:eastAsia="方正仿宋_GB2312" w:cs="Times New Roman"/>
          <w:b w:val="0"/>
          <w:bCs w:val="0"/>
          <w:color w:val="auto"/>
          <w:kern w:val="0"/>
          <w:sz w:val="24"/>
          <w:szCs w:val="28"/>
          <w:highlight w:val="none"/>
          <w:lang w:val="en-US" w:eastAsia="zh-CN"/>
        </w:rPr>
        <w:t>ACQUITY  Premier</w:t>
      </w:r>
      <w:r>
        <w:rPr>
          <w:rFonts w:hint="default" w:ascii="Times New Roman" w:hAnsi="Times New Roman" w:eastAsia="方正仿宋_GB2312" w:cs="Times New Roman"/>
          <w:b/>
          <w:bCs/>
          <w:color w:val="auto"/>
          <w:kern w:val="0"/>
          <w:sz w:val="24"/>
          <w:szCs w:val="28"/>
          <w:highlight w:val="none"/>
          <w:lang w:val="en-US" w:eastAsia="zh-CN"/>
        </w:rPr>
        <w:t>） 超高效液相色谱仪联用。</w:t>
      </w:r>
      <w:r>
        <w:rPr>
          <w:rFonts w:hint="default" w:ascii="Times New Roman" w:hAnsi="Times New Roman" w:eastAsia="方正仿宋_GB2312" w:cs="Times New Roman"/>
          <w:color w:val="auto"/>
          <w:kern w:val="0"/>
          <w:sz w:val="24"/>
          <w:szCs w:val="28"/>
          <w:highlight w:val="none"/>
          <w:lang w:val="en-US" w:eastAsia="zh-CN"/>
        </w:rPr>
        <w:t>实现样品经沃特世（</w:t>
      </w:r>
      <w:r>
        <w:rPr>
          <w:rFonts w:hint="default" w:ascii="Times New Roman" w:hAnsi="Times New Roman" w:eastAsia="方正仿宋_GB2312" w:cs="Times New Roman"/>
          <w:b w:val="0"/>
          <w:bCs w:val="0"/>
          <w:color w:val="auto"/>
          <w:kern w:val="0"/>
          <w:sz w:val="24"/>
          <w:szCs w:val="28"/>
          <w:highlight w:val="none"/>
          <w:lang w:val="en-US" w:eastAsia="zh-CN"/>
        </w:rPr>
        <w:t>ACQUITY  Premier</w:t>
      </w:r>
      <w:r>
        <w:rPr>
          <w:rFonts w:hint="default" w:ascii="Times New Roman" w:hAnsi="Times New Roman" w:eastAsia="方正仿宋_GB2312" w:cs="Times New Roman"/>
          <w:color w:val="auto"/>
          <w:kern w:val="0"/>
          <w:sz w:val="24"/>
          <w:szCs w:val="28"/>
          <w:highlight w:val="none"/>
          <w:lang w:val="en-US" w:eastAsia="zh-CN"/>
        </w:rPr>
        <w:t>）超高效液相色谱仪色谱分离后进本次所投产品检测，在无人值守情况下完成48位及以上样品进样序列检测，样品序列完成后可自动转为待机状态</w:t>
      </w:r>
      <w:r>
        <w:rPr>
          <w:rFonts w:hint="default" w:ascii="Times New Roman" w:hAnsi="Times New Roman" w:eastAsia="方正仿宋_GB2312" w:cs="Times New Roman"/>
          <w:b/>
          <w:bCs/>
          <w:i w:val="0"/>
          <w:iCs w:val="0"/>
          <w:caps w:val="0"/>
          <w:color w:val="auto"/>
          <w:spacing w:val="0"/>
          <w:kern w:val="0"/>
          <w:sz w:val="24"/>
          <w:szCs w:val="28"/>
          <w:highlight w:val="none"/>
          <w:shd w:val="clear"/>
        </w:rPr>
        <w:t>（</w:t>
      </w:r>
      <w:r>
        <w:rPr>
          <w:rFonts w:hint="default" w:ascii="Times New Roman" w:hAnsi="Times New Roman" w:eastAsia="方正仿宋_GB2312" w:cs="Times New Roman"/>
          <w:b/>
          <w:bCs/>
          <w:i w:val="0"/>
          <w:iCs w:val="0"/>
          <w:caps w:val="0"/>
          <w:color w:val="auto"/>
          <w:spacing w:val="0"/>
          <w:kern w:val="0"/>
          <w:sz w:val="24"/>
          <w:szCs w:val="28"/>
          <w:highlight w:val="none"/>
          <w:shd w:val="clear"/>
          <w:lang w:val="en-US" w:eastAsia="zh-CN"/>
        </w:rPr>
        <w:t>提供承诺书，格式自拟，</w:t>
      </w:r>
      <w:r>
        <w:rPr>
          <w:rFonts w:hint="default" w:ascii="Times New Roman" w:hAnsi="Times New Roman" w:eastAsia="方正仿宋_GB2312" w:cs="Times New Roman"/>
          <w:b/>
          <w:bCs/>
          <w:color w:val="auto"/>
          <w:kern w:val="0"/>
          <w:sz w:val="24"/>
          <w:szCs w:val="28"/>
          <w:highlight w:val="none"/>
          <w:lang w:val="en-US" w:eastAsia="zh-CN"/>
        </w:rPr>
        <w:t>加盖投标人公章</w:t>
      </w:r>
      <w:r>
        <w:rPr>
          <w:rFonts w:hint="default" w:ascii="Times New Roman" w:hAnsi="Times New Roman" w:eastAsia="方正仿宋_GB2312" w:cs="Times New Roman"/>
          <w:b/>
          <w:bCs/>
          <w:i w:val="0"/>
          <w:iCs w:val="0"/>
          <w:caps w:val="0"/>
          <w:color w:val="auto"/>
          <w:spacing w:val="0"/>
          <w:kern w:val="0"/>
          <w:sz w:val="24"/>
          <w:szCs w:val="28"/>
          <w:highlight w:val="none"/>
          <w:shd w:val="clear"/>
        </w:rPr>
        <w:t>）</w:t>
      </w:r>
      <w:r>
        <w:rPr>
          <w:rFonts w:hint="default" w:ascii="Times New Roman" w:hAnsi="Times New Roman" w:eastAsia="方正仿宋_GB2312" w:cs="Times New Roman"/>
          <w:i w:val="0"/>
          <w:iCs w:val="0"/>
          <w:caps w:val="0"/>
          <w:color w:val="auto"/>
          <w:spacing w:val="0"/>
          <w:kern w:val="0"/>
          <w:sz w:val="24"/>
          <w:szCs w:val="28"/>
          <w:highlight w:val="none"/>
          <w:shd w:val="clear"/>
        </w:rPr>
        <w:t>。</w:t>
      </w:r>
    </w:p>
    <w:p w14:paraId="370B1D72">
      <w:pPr>
        <w:spacing w:line="480" w:lineRule="exact"/>
        <w:ind w:firstLine="482" w:firstLineChars="200"/>
        <w:jc w:val="left"/>
        <w:rPr>
          <w:rFonts w:hint="default" w:ascii="Times New Roman" w:hAnsi="Times New Roman" w:eastAsia="方正仿宋_GB2312" w:cs="Times New Roman"/>
          <w:b/>
          <w:bCs/>
          <w:color w:val="auto"/>
          <w:kern w:val="0"/>
          <w:sz w:val="24"/>
          <w:szCs w:val="28"/>
          <w:highlight w:val="none"/>
          <w:lang w:val="en-US" w:eastAsia="zh-CN"/>
        </w:rPr>
      </w:pPr>
      <w:r>
        <w:rPr>
          <w:rFonts w:hint="default" w:ascii="Times New Roman" w:hAnsi="Times New Roman" w:eastAsia="方正仿宋_GB2312" w:cs="Times New Roman"/>
          <w:b/>
          <w:bCs/>
          <w:color w:val="auto"/>
          <w:kern w:val="0"/>
          <w:sz w:val="24"/>
          <w:szCs w:val="28"/>
          <w:highlight w:val="none"/>
          <w:lang w:val="en-US" w:eastAsia="zh-CN"/>
        </w:rPr>
        <w:t>2.6真空系统和氮气发生器</w:t>
      </w:r>
    </w:p>
    <w:p w14:paraId="01AECF48">
      <w:pPr>
        <w:spacing w:line="480" w:lineRule="exact"/>
        <w:ind w:firstLine="480" w:firstLineChars="200"/>
        <w:jc w:val="both"/>
        <w:rPr>
          <w:rFonts w:hint="default" w:ascii="Times New Roman" w:hAnsi="Times New Roman" w:eastAsia="方正仿宋_GB2312" w:cs="Times New Roman"/>
          <w:color w:val="auto"/>
          <w:kern w:val="0"/>
          <w:sz w:val="24"/>
          <w:szCs w:val="28"/>
          <w:highlight w:val="none"/>
          <w:lang w:val="en-US" w:eastAsia="zh-CN"/>
        </w:rPr>
      </w:pPr>
      <w:r>
        <w:rPr>
          <w:rFonts w:hint="default" w:ascii="Times New Roman" w:hAnsi="Times New Roman" w:eastAsia="方正仿宋_GB2312" w:cs="Times New Roman"/>
          <w:color w:val="auto"/>
          <w:kern w:val="0"/>
          <w:sz w:val="24"/>
          <w:szCs w:val="28"/>
          <w:highlight w:val="none"/>
          <w:lang w:val="en-US" w:eastAsia="zh-CN"/>
        </w:rPr>
        <w:t>2.6.1真空系统由涡轮分子泵和机械泵组成，具有自动断电保护功能。</w:t>
      </w:r>
    </w:p>
    <w:p w14:paraId="7D15DACE">
      <w:pPr>
        <w:ind w:firstLine="480" w:firstLineChars="200"/>
        <w:rPr>
          <w:rFonts w:hint="default" w:ascii="方正仿宋_GB2312" w:hAnsi="方正仿宋_GB2312" w:eastAsia="方正仿宋_GB2312" w:cs="方正仿宋_GB2312"/>
          <w:b/>
          <w:color w:val="auto"/>
          <w:sz w:val="24"/>
          <w:szCs w:val="24"/>
          <w:highlight w:val="none"/>
          <w:lang w:val="en-US" w:eastAsia="zh-CN"/>
        </w:rPr>
      </w:pPr>
      <w:r>
        <w:rPr>
          <w:rFonts w:hint="default" w:ascii="Times New Roman" w:hAnsi="Times New Roman" w:eastAsia="方正仿宋_GB2312" w:cs="Times New Roman"/>
          <w:b w:val="0"/>
          <w:bCs w:val="0"/>
          <w:color w:val="auto"/>
          <w:kern w:val="0"/>
          <w:sz w:val="24"/>
          <w:szCs w:val="28"/>
          <w:highlight w:val="none"/>
          <w:lang w:val="en-US" w:eastAsia="zh-CN"/>
        </w:rPr>
        <w:t>▲2.6.2氮气发生器：内置消音器及一体式真空隔音机箱，系统（包括主机和压缩机）噪音水平：≤50 dB@1m</w:t>
      </w:r>
      <w:r>
        <w:rPr>
          <w:rFonts w:hint="default" w:ascii="Times New Roman" w:hAnsi="Times New Roman" w:eastAsia="方正仿宋_GB2312" w:cs="Times New Roman"/>
          <w:i w:val="0"/>
          <w:iCs w:val="0"/>
          <w:caps w:val="0"/>
          <w:color w:val="auto"/>
          <w:spacing w:val="0"/>
          <w:kern w:val="0"/>
          <w:sz w:val="24"/>
          <w:szCs w:val="28"/>
          <w:highlight w:val="none"/>
          <w:shd w:val="clear"/>
        </w:rPr>
        <w:t>（</w:t>
      </w:r>
      <w:r>
        <w:rPr>
          <w:rFonts w:hint="default" w:ascii="Times New Roman" w:hAnsi="Times New Roman" w:eastAsia="方正仿宋_GB2312" w:cs="Times New Roman"/>
          <w:b/>
          <w:bCs/>
          <w:color w:val="auto"/>
          <w:kern w:val="0"/>
          <w:sz w:val="24"/>
          <w:szCs w:val="28"/>
          <w:highlight w:val="none"/>
          <w:lang w:val="en-US" w:eastAsia="zh-CN"/>
        </w:rPr>
        <w:t>提供具备CMA资质的第三方认证机构出具的投标型号氮气发生器的检测报告，加盖投标人公章</w:t>
      </w:r>
      <w:r>
        <w:rPr>
          <w:rFonts w:hint="default" w:ascii="Times New Roman" w:hAnsi="Times New Roman" w:eastAsia="方正仿宋_GB2312" w:cs="Times New Roman"/>
          <w:i w:val="0"/>
          <w:iCs w:val="0"/>
          <w:caps w:val="0"/>
          <w:color w:val="auto"/>
          <w:spacing w:val="0"/>
          <w:kern w:val="0"/>
          <w:sz w:val="24"/>
          <w:szCs w:val="28"/>
          <w:highlight w:val="none"/>
          <w:shd w:val="clear"/>
        </w:rPr>
        <w:t>）</w:t>
      </w:r>
    </w:p>
    <w:p w14:paraId="08E59598">
      <w:pPr>
        <w:numPr>
          <w:ilvl w:val="0"/>
          <w:numId w:val="3"/>
        </w:numPr>
        <w:spacing w:line="400" w:lineRule="exact"/>
        <w:ind w:left="0" w:leftChars="0" w:firstLine="482" w:firstLineChars="200"/>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项目实施方案 </w:t>
      </w:r>
    </w:p>
    <w:p w14:paraId="38239D4F">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供应商针对本项目提供的项目实施计划、货物进度安排、培训方案、售后服务方案等内容，需结构严谨、内容完整详实，且应结合本项目具体要求细化制定，确保供货及安装及时到位，方案整体语言表述准确清晰。</w:t>
      </w:r>
    </w:p>
    <w:p w14:paraId="745E7FA2">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（一）项目实施计划</w:t>
      </w:r>
    </w:p>
    <w:p w14:paraId="646AC676">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供应商须依据采购文件要求制定详细的项目实施计划，内容应涵盖产品到场日期、现场安装、进度规划、人员培训、现场管理、设备调试及使用维护等环节。</w:t>
      </w:r>
    </w:p>
    <w:p w14:paraId="33200112">
      <w:pPr>
        <w:numPr>
          <w:ilvl w:val="0"/>
          <w:numId w:val="4"/>
        </w:num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质量保证措施</w:t>
      </w:r>
    </w:p>
    <w:p w14:paraId="6CDAF795">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供应商</w:t>
      </w:r>
      <w:r>
        <w:rPr>
          <w:rFonts w:hint="eastAsia" w:ascii="方正仿宋_GB2312" w:hAnsi="方正仿宋_GB2312" w:eastAsia="方正仿宋_GB2312" w:cs="方正仿宋_GB2312"/>
          <w:color w:val="auto"/>
          <w:sz w:val="24"/>
          <w:szCs w:val="28"/>
          <w:highlight w:val="none"/>
          <w:lang w:val="en-US" w:eastAsia="zh-CN"/>
        </w:rPr>
        <w:t>须依据采购文件要求制定</w:t>
      </w:r>
      <w:r>
        <w:rPr>
          <w:rFonts w:hint="default" w:ascii="方正仿宋_GB2312" w:hAnsi="方正仿宋_GB2312" w:eastAsia="方正仿宋_GB2312" w:cs="方正仿宋_GB2312"/>
          <w:color w:val="auto"/>
          <w:sz w:val="24"/>
          <w:szCs w:val="28"/>
          <w:highlight w:val="none"/>
          <w:lang w:val="en-US" w:eastAsia="zh-CN"/>
        </w:rPr>
        <w:t>对本项目的质量保证方案，含人员配置、质保期保障、问题响应与应急处理机制</w:t>
      </w:r>
      <w:r>
        <w:rPr>
          <w:rFonts w:hint="eastAsia" w:ascii="方正仿宋_GB2312" w:hAnsi="方正仿宋_GB2312" w:eastAsia="方正仿宋_GB2312" w:cs="方正仿宋_GB2312"/>
          <w:color w:val="auto"/>
          <w:sz w:val="24"/>
          <w:szCs w:val="28"/>
          <w:highlight w:val="none"/>
          <w:lang w:val="en-US" w:eastAsia="zh-CN"/>
        </w:rPr>
        <w:t>等内容。</w:t>
      </w:r>
    </w:p>
    <w:p w14:paraId="13B9F01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（三）售后服务方案</w:t>
      </w:r>
    </w:p>
    <w:p w14:paraId="21CB9A70">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包括质保期内供应商须免费负责对设备进行维修、更换故障零部件，承担由此产生的全部配件、人工等相关费用，且须响应采购人要求，按约定时限上门处理故障，保证故障解决及时、设备恢复正常运行。供应商需明确提供质保期后的收费维修、零配件供应及长期技术支持服务方案，明确服务内容、收费标准和响应时限。供应商还须针对本项目制定专门的售后服务保障机制，明确专职售后服务人员的联系方式、信息反馈渠道，确保服务需求能够得到及时响应处理。</w:t>
      </w:r>
    </w:p>
    <w:p w14:paraId="673E36C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（四）培训方案</w:t>
      </w:r>
    </w:p>
    <w:p w14:paraId="584B5F00">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1.中标人应为采购人的技术人员开设培训课程，使其能够掌握设备运行、检查、维修、维护能力。中标人要详细作出培训计划，包括培训课程安排、对被培训人员要求等，投标文件中提供培训计划。</w:t>
      </w:r>
    </w:p>
    <w:p w14:paraId="6B85A5E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2.中标人应向接受培训人员提供技术资料、图纸、参考文献材料等。</w:t>
      </w:r>
    </w:p>
    <w:p w14:paraId="13EF63A4">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3.本项目具体培训内容、培训人员、培训地点由采购人确定，所有培训所涉及的所有费用应由中标人出资，不得另行向采购人单位收取。</w:t>
      </w:r>
    </w:p>
    <w:p w14:paraId="71FD8F3F">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4.仪器安装培训完成后，另外提供免费现场培训不少于3次，每次不少于3天。</w:t>
      </w:r>
    </w:p>
    <w:p w14:paraId="317313A5">
      <w:pPr>
        <w:numPr>
          <w:ilvl w:val="0"/>
          <w:numId w:val="3"/>
        </w:numPr>
        <w:spacing w:line="400" w:lineRule="exact"/>
        <w:ind w:left="0" w:leftChars="0" w:firstLine="482" w:firstLineChars="200"/>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验收方案</w:t>
      </w:r>
    </w:p>
    <w:p w14:paraId="55EDCA51">
      <w:pPr>
        <w:numPr>
          <w:ilvl w:val="0"/>
          <w:numId w:val="0"/>
        </w:num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bidi="ar-SA"/>
        </w:rPr>
        <w:t>1.</w:t>
      </w:r>
      <w:r>
        <w:rPr>
          <w:rFonts w:hint="eastAsia" w:ascii="方正仿宋_GB2312" w:hAnsi="方正仿宋_GB2312" w:eastAsia="方正仿宋_GB2312" w:cs="方正仿宋_GB2312"/>
          <w:color w:val="auto"/>
          <w:sz w:val="24"/>
          <w:szCs w:val="28"/>
          <w:highlight w:val="none"/>
          <w:lang w:val="en-US" w:eastAsia="zh-CN"/>
        </w:rPr>
        <w:t>在货物进场并安装调试完毕后7个工作日内，采购人根据技术要求组织验收，验收内容包括：型号、规格、数量、外观质量、及货物包装是否完好，质量是否合格，所提供货物的清单是否齐全。</w:t>
      </w:r>
    </w:p>
    <w:p w14:paraId="2CECA1DC">
      <w:pPr>
        <w:numPr>
          <w:ilvl w:val="0"/>
          <w:numId w:val="0"/>
        </w:num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bidi="ar-SA"/>
        </w:rPr>
        <w:t>2.</w:t>
      </w:r>
      <w:r>
        <w:rPr>
          <w:rFonts w:hint="eastAsia" w:ascii="方正仿宋_GB2312" w:hAnsi="方正仿宋_GB2312" w:eastAsia="方正仿宋_GB2312" w:cs="方正仿宋_GB2312"/>
          <w:color w:val="auto"/>
          <w:sz w:val="24"/>
          <w:szCs w:val="28"/>
          <w:highlight w:val="none"/>
          <w:lang w:val="en-US" w:eastAsia="zh-CN"/>
        </w:rPr>
        <w:t xml:space="preserve">现场验收标准：全氟和多氟烷基化合物测定。 </w:t>
      </w:r>
    </w:p>
    <w:p w14:paraId="3ADED22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（1）定量灵敏度，全氟-3,6,9-三氧杂癸酸多重反应监测（m/z 411＞85），ESI-模式下，进样量≤15 fg，信噪比&gt;10。</w:t>
      </w:r>
    </w:p>
    <w:p w14:paraId="69D06593">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（2）线性范围，全氟-3,6,9-三氧杂癸酸多重反应监测（m/z 411＞85），ESI-模式下，进样量10 μL，定量曲线在50～10000 ng/L范围内，线性相关系数r≥0.999。</w:t>
      </w:r>
      <w:r>
        <w:rPr>
          <w:rFonts w:hint="eastAsia" w:ascii="方正仿宋_GB2312" w:hAnsi="方正仿宋_GB2312" w:eastAsia="方正仿宋_GB2312" w:cs="方正仿宋_GB2312"/>
          <w:color w:val="auto"/>
          <w:sz w:val="24"/>
          <w:szCs w:val="28"/>
          <w:highlight w:val="none"/>
          <w:lang w:val="en-US" w:eastAsia="zh-CN"/>
        </w:rPr>
        <w:tab/>
      </w:r>
    </w:p>
    <w:p w14:paraId="6AA45E05">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（3）测量重复性，全氟-3,6,9-三氧杂癸酸多重反应监测（m/z 411＞85），ESI-模式下，进样量10 μL，浓度为20 ng/L，连续6次进样，RSD&lt;3%。</w:t>
      </w:r>
    </w:p>
    <w:p w14:paraId="58234E21">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3.采购单位组建验收小组，按约定的时间组织验收，并出具验收报告。</w:t>
      </w:r>
    </w:p>
    <w:p w14:paraId="6BC9EE52">
      <w:pPr>
        <w:pStyle w:val="53"/>
        <w:rPr>
          <w:rFonts w:hint="default"/>
          <w:color w:val="auto"/>
          <w:highlight w:val="none"/>
          <w:lang w:val="en-US" w:eastAsia="zh-CN"/>
        </w:rPr>
      </w:pPr>
    </w:p>
    <w:p w14:paraId="374CAF72">
      <w:pPr>
        <w:numPr>
          <w:ilvl w:val="0"/>
          <w:numId w:val="0"/>
        </w:numPr>
        <w:spacing w:line="400" w:lineRule="exact"/>
        <w:rPr>
          <w:rFonts w:hint="default" w:ascii="方正仿宋_GB2312" w:hAnsi="方正仿宋_GB2312" w:eastAsia="方正仿宋_GB2312" w:cs="方正仿宋_GB2312"/>
          <w:b/>
          <w:color w:val="auto"/>
          <w:sz w:val="24"/>
          <w:szCs w:val="24"/>
          <w:highlight w:val="none"/>
          <w:lang w:val="en-US" w:eastAsia="zh-CN"/>
        </w:rPr>
      </w:pPr>
    </w:p>
    <w:p w14:paraId="6782FF4D">
      <w:pPr>
        <w:jc w:val="center"/>
        <w:rPr>
          <w:rFonts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32"/>
          <w:szCs w:val="32"/>
          <w:highlight w:val="none"/>
        </w:rPr>
        <w:br w:type="page"/>
      </w:r>
    </w:p>
    <w:p w14:paraId="5EF3E98B">
      <w:pPr>
        <w:spacing w:line="480" w:lineRule="exact"/>
        <w:ind w:firstLine="883" w:firstLineChars="200"/>
        <w:jc w:val="center"/>
        <w:outlineLvl w:val="0"/>
        <w:rPr>
          <w:rFonts w:hint="eastAsia" w:ascii="方正仿宋_GB2312" w:hAnsi="方正仿宋_GB2312" w:eastAsia="方正仿宋_GB2312" w:cs="方正仿宋_GB2312"/>
          <w:b/>
          <w:color w:val="auto"/>
          <w:sz w:val="44"/>
          <w:szCs w:val="44"/>
          <w:highlight w:val="none"/>
        </w:rPr>
      </w:pPr>
      <w:bookmarkStart w:id="131" w:name="_Toc18529"/>
      <w:r>
        <w:rPr>
          <w:rFonts w:hint="eastAsia" w:ascii="方正仿宋_GB2312" w:hAnsi="方正仿宋_GB2312" w:eastAsia="方正仿宋_GB2312" w:cs="方正仿宋_GB2312"/>
          <w:b/>
          <w:color w:val="auto"/>
          <w:sz w:val="44"/>
          <w:szCs w:val="44"/>
          <w:highlight w:val="none"/>
        </w:rPr>
        <w:t xml:space="preserve">第五章  </w:t>
      </w:r>
      <w:r>
        <w:rPr>
          <w:rFonts w:hint="eastAsia" w:ascii="方正仿宋_GB2312" w:hAnsi="方正仿宋_GB2312" w:eastAsia="方正仿宋_GB2312" w:cs="方正仿宋_GB2312"/>
          <w:b/>
          <w:bCs/>
          <w:color w:val="auto"/>
          <w:sz w:val="44"/>
          <w:szCs w:val="44"/>
          <w:highlight w:val="none"/>
        </w:rPr>
        <w:t>合同文本</w:t>
      </w:r>
      <w:bookmarkEnd w:id="127"/>
      <w:bookmarkEnd w:id="128"/>
      <w:bookmarkEnd w:id="129"/>
      <w:bookmarkEnd w:id="130"/>
      <w:bookmarkEnd w:id="131"/>
      <w:bookmarkStart w:id="132" w:name="_Toc20823315"/>
      <w:bookmarkStart w:id="133" w:name="_Toc513029243"/>
      <w:bookmarkStart w:id="134" w:name="_Toc16938559"/>
    </w:p>
    <w:p w14:paraId="2EF90173">
      <w:pPr>
        <w:spacing w:line="700" w:lineRule="exact"/>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采购合同（参考）</w:t>
      </w:r>
    </w:p>
    <w:p w14:paraId="5F40DC8F">
      <w:pPr>
        <w:spacing w:line="520" w:lineRule="exact"/>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专用条款</w:t>
      </w:r>
    </w:p>
    <w:p w14:paraId="2D74E3E7">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甲方</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u w:val="single"/>
          <w:lang w:eastAsia="zh-CN"/>
        </w:rPr>
        <w:t>宿迁市疾病预防控制中心</w:t>
      </w:r>
    </w:p>
    <w:p w14:paraId="4E7552FF">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乙方</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u w:val="single"/>
        </w:rPr>
        <w:t xml:space="preserve">        </w:t>
      </w:r>
    </w:p>
    <w:p w14:paraId="15F3E1D6">
      <w:pPr>
        <w:snapToGrid w:val="0"/>
        <w:spacing w:before="160"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依照《中华人民共和国政府采购法</w:t>
      </w: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rPr>
        <w:t>中华人民共和国民法典》及其他有关法律、行政法规，遵循平等、自愿、公平和诚实信用的原则，双方就</w:t>
      </w:r>
      <w:r>
        <w:rPr>
          <w:rFonts w:hint="eastAsia" w:ascii="方正仿宋_GB2312" w:hAnsi="方正仿宋_GB2312" w:eastAsia="方正仿宋_GB2312" w:cs="方正仿宋_GB2312"/>
          <w:b/>
          <w:bCs/>
          <w:color w:val="auto"/>
          <w:sz w:val="24"/>
          <w:highlight w:val="none"/>
          <w:u w:val="single"/>
          <w:lang w:eastAsia="zh-CN"/>
        </w:rPr>
        <w:t>三重四极杆质谱仪采购</w:t>
      </w:r>
      <w:r>
        <w:rPr>
          <w:rFonts w:hint="eastAsia" w:ascii="方正仿宋_GB2312" w:hAnsi="方正仿宋_GB2312" w:eastAsia="方正仿宋_GB2312" w:cs="方正仿宋_GB2312"/>
          <w:bCs/>
          <w:color w:val="auto"/>
          <w:sz w:val="24"/>
          <w:highlight w:val="none"/>
        </w:rPr>
        <w:t>相关</w:t>
      </w:r>
      <w:r>
        <w:rPr>
          <w:rFonts w:hint="eastAsia" w:ascii="方正仿宋_GB2312" w:hAnsi="方正仿宋_GB2312" w:eastAsia="方正仿宋_GB2312" w:cs="方正仿宋_GB2312"/>
          <w:color w:val="auto"/>
          <w:sz w:val="24"/>
          <w:highlight w:val="none"/>
        </w:rPr>
        <w:t>事项协商一致，达成如下合同条款：</w:t>
      </w:r>
    </w:p>
    <w:p w14:paraId="68518DAD">
      <w:pPr>
        <w:snapToGrid w:val="0"/>
        <w:spacing w:before="160" w:line="520" w:lineRule="exact"/>
        <w:ind w:firstLine="482"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一、乙方向甲方提供总价值（含税）为</w:t>
      </w:r>
      <w:r>
        <w:rPr>
          <w:rFonts w:hint="eastAsia" w:ascii="方正仿宋_GB2312" w:hAnsi="方正仿宋_GB2312" w:eastAsia="方正仿宋_GB2312" w:cs="方正仿宋_GB2312"/>
          <w:b/>
          <w:color w:val="auto"/>
          <w:sz w:val="24"/>
          <w:highlight w:val="none"/>
          <w:u w:val="single"/>
        </w:rPr>
        <w:t xml:space="preserve">                  </w:t>
      </w:r>
      <w:r>
        <w:rPr>
          <w:rFonts w:hint="eastAsia" w:ascii="方正仿宋_GB2312" w:hAnsi="方正仿宋_GB2312" w:eastAsia="方正仿宋_GB2312" w:cs="方正仿宋_GB2312"/>
          <w:b/>
          <w:color w:val="auto"/>
          <w:sz w:val="24"/>
          <w:highlight w:val="none"/>
        </w:rPr>
        <w:t>的标的（货物）</w:t>
      </w:r>
      <w:r>
        <w:rPr>
          <w:rFonts w:hint="eastAsia" w:ascii="方正仿宋_GB2312" w:hAnsi="方正仿宋_GB2312" w:eastAsia="方正仿宋_GB2312" w:cs="方正仿宋_GB2312"/>
          <w:color w:val="auto"/>
          <w:sz w:val="24"/>
          <w:highlight w:val="none"/>
        </w:rPr>
        <w:t>。</w:t>
      </w:r>
    </w:p>
    <w:p w14:paraId="02FCB46C">
      <w:pPr>
        <w:snapToGrid w:val="0"/>
        <w:spacing w:before="160" w:line="520" w:lineRule="exact"/>
        <w:ind w:firstLine="3765" w:firstLineChars="1250"/>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t>标 的 清 单</w:t>
      </w:r>
    </w:p>
    <w:tbl>
      <w:tblPr>
        <w:tblStyle w:val="5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5"/>
        <w:gridCol w:w="862"/>
        <w:gridCol w:w="862"/>
        <w:gridCol w:w="1757"/>
        <w:gridCol w:w="1768"/>
      </w:tblGrid>
      <w:tr w14:paraId="09DE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206" w:type="pct"/>
            <w:noWrap w:val="0"/>
            <w:vAlign w:val="top"/>
          </w:tcPr>
          <w:p w14:paraId="6362A1CC">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货物的名称及品牌.规格.型号</w:t>
            </w:r>
          </w:p>
        </w:tc>
        <w:tc>
          <w:tcPr>
            <w:tcW w:w="459" w:type="pct"/>
            <w:noWrap w:val="0"/>
            <w:vAlign w:val="top"/>
          </w:tcPr>
          <w:p w14:paraId="2D6753E5">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单位</w:t>
            </w:r>
          </w:p>
        </w:tc>
        <w:tc>
          <w:tcPr>
            <w:tcW w:w="459" w:type="pct"/>
            <w:noWrap w:val="0"/>
            <w:vAlign w:val="top"/>
          </w:tcPr>
          <w:p w14:paraId="1657B05E">
            <w:pPr>
              <w:snapToGrid w:val="0"/>
              <w:spacing w:before="160" w:line="520" w:lineRule="exact"/>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数量</w:t>
            </w:r>
          </w:p>
        </w:tc>
        <w:tc>
          <w:tcPr>
            <w:tcW w:w="935" w:type="pct"/>
            <w:noWrap w:val="0"/>
            <w:vAlign w:val="top"/>
          </w:tcPr>
          <w:p w14:paraId="7444FC48">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单价（元）</w:t>
            </w:r>
          </w:p>
        </w:tc>
        <w:tc>
          <w:tcPr>
            <w:tcW w:w="938" w:type="pct"/>
            <w:noWrap w:val="0"/>
            <w:vAlign w:val="top"/>
          </w:tcPr>
          <w:p w14:paraId="44717A58">
            <w:pPr>
              <w:snapToGrid w:val="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总价（元）</w:t>
            </w:r>
          </w:p>
        </w:tc>
      </w:tr>
      <w:tr w14:paraId="20FD3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206" w:type="pct"/>
            <w:noWrap w:val="0"/>
            <w:vAlign w:val="top"/>
          </w:tcPr>
          <w:p w14:paraId="0C2F3A58">
            <w:pPr>
              <w:snapToGrid w:val="0"/>
              <w:spacing w:before="160" w:line="520" w:lineRule="exact"/>
              <w:rPr>
                <w:rFonts w:hint="eastAsia" w:ascii="方正仿宋_GB2312" w:hAnsi="方正仿宋_GB2312" w:eastAsia="方正仿宋_GB2312" w:cs="方正仿宋_GB2312"/>
                <w:color w:val="auto"/>
                <w:sz w:val="24"/>
                <w:highlight w:val="none"/>
              </w:rPr>
            </w:pPr>
          </w:p>
        </w:tc>
        <w:tc>
          <w:tcPr>
            <w:tcW w:w="459" w:type="pct"/>
            <w:noWrap w:val="0"/>
            <w:vAlign w:val="top"/>
          </w:tcPr>
          <w:p w14:paraId="176D90F7">
            <w:pPr>
              <w:snapToGrid w:val="0"/>
              <w:spacing w:before="160" w:line="520" w:lineRule="exact"/>
              <w:rPr>
                <w:rFonts w:hint="eastAsia" w:ascii="方正仿宋_GB2312" w:hAnsi="方正仿宋_GB2312" w:eastAsia="方正仿宋_GB2312" w:cs="方正仿宋_GB2312"/>
                <w:color w:val="auto"/>
                <w:sz w:val="24"/>
                <w:highlight w:val="none"/>
                <w:lang w:val="en-US" w:eastAsia="zh-CN"/>
              </w:rPr>
            </w:pPr>
          </w:p>
        </w:tc>
        <w:tc>
          <w:tcPr>
            <w:tcW w:w="459" w:type="pct"/>
            <w:noWrap w:val="0"/>
            <w:vAlign w:val="top"/>
          </w:tcPr>
          <w:p w14:paraId="56EFF4F1">
            <w:pPr>
              <w:snapToGrid w:val="0"/>
              <w:spacing w:before="160" w:line="520" w:lineRule="exact"/>
              <w:rPr>
                <w:rFonts w:hint="eastAsia" w:ascii="方正仿宋_GB2312" w:hAnsi="方正仿宋_GB2312" w:eastAsia="方正仿宋_GB2312" w:cs="方正仿宋_GB2312"/>
                <w:color w:val="auto"/>
                <w:sz w:val="24"/>
                <w:highlight w:val="none"/>
                <w:lang w:val="en-US" w:eastAsia="zh-CN"/>
              </w:rPr>
            </w:pPr>
          </w:p>
        </w:tc>
        <w:tc>
          <w:tcPr>
            <w:tcW w:w="935" w:type="pct"/>
            <w:noWrap w:val="0"/>
            <w:vAlign w:val="top"/>
          </w:tcPr>
          <w:p w14:paraId="3868D8DE">
            <w:pPr>
              <w:snapToGrid w:val="0"/>
              <w:spacing w:before="160" w:line="520" w:lineRule="exact"/>
              <w:rPr>
                <w:rFonts w:hint="eastAsia" w:ascii="方正仿宋_GB2312" w:hAnsi="方正仿宋_GB2312" w:eastAsia="方正仿宋_GB2312" w:cs="方正仿宋_GB2312"/>
                <w:color w:val="auto"/>
                <w:sz w:val="24"/>
                <w:highlight w:val="none"/>
              </w:rPr>
            </w:pPr>
          </w:p>
        </w:tc>
        <w:tc>
          <w:tcPr>
            <w:tcW w:w="938" w:type="pct"/>
            <w:noWrap w:val="0"/>
            <w:vAlign w:val="top"/>
          </w:tcPr>
          <w:p w14:paraId="29D28B27">
            <w:pPr>
              <w:snapToGrid w:val="0"/>
              <w:spacing w:before="160" w:line="520" w:lineRule="exact"/>
              <w:rPr>
                <w:rFonts w:hint="eastAsia" w:ascii="方正仿宋_GB2312" w:hAnsi="方正仿宋_GB2312" w:eastAsia="方正仿宋_GB2312" w:cs="方正仿宋_GB2312"/>
                <w:color w:val="auto"/>
                <w:sz w:val="24"/>
                <w:highlight w:val="none"/>
              </w:rPr>
            </w:pPr>
          </w:p>
        </w:tc>
      </w:tr>
      <w:tr w14:paraId="73F5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5"/>
            <w:noWrap w:val="0"/>
            <w:vAlign w:val="top"/>
          </w:tcPr>
          <w:p w14:paraId="079A95AB">
            <w:pPr>
              <w:snapToGrid w:val="0"/>
              <w:spacing w:before="160" w:line="520" w:lineRule="exact"/>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合计人民币金额（大写）：                              （￥：  ）</w:t>
            </w:r>
          </w:p>
        </w:tc>
      </w:tr>
    </w:tbl>
    <w:p w14:paraId="3889B18C">
      <w:pPr>
        <w:keepNext/>
        <w:keepLines/>
        <w:pageBreakBefore w:val="0"/>
        <w:widowControl w:val="0"/>
        <w:tabs>
          <w:tab w:val="left" w:pos="1134"/>
          <w:tab w:val="right" w:pos="7371"/>
        </w:tabs>
        <w:kinsoku/>
        <w:wordWrap/>
        <w:overflowPunct/>
        <w:topLinePunct w:val="0"/>
        <w:autoSpaceDE/>
        <w:autoSpaceDN/>
        <w:bidi w:val="0"/>
        <w:adjustRightInd/>
        <w:snapToGrid/>
        <w:spacing w:line="240" w:lineRule="auto"/>
        <w:ind w:firstLine="0" w:firstLineChars="0"/>
        <w:textAlignment w:val="auto"/>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lang w:val="en-US" w:eastAsia="zh-CN"/>
        </w:rPr>
        <w:t>注：</w:t>
      </w:r>
      <w:r>
        <w:rPr>
          <w:rFonts w:hint="eastAsia" w:ascii="方正仿宋_GB2312" w:hAnsi="方正仿宋_GB2312" w:eastAsia="方正仿宋_GB2312" w:cs="方正仿宋_GB2312"/>
          <w:color w:val="auto"/>
          <w:sz w:val="24"/>
          <w:highlight w:val="none"/>
        </w:rPr>
        <w:t>本合同价款包含</w:t>
      </w:r>
      <w:r>
        <w:rPr>
          <w:rFonts w:hint="eastAsia" w:ascii="方正仿宋_GB2312" w:hAnsi="方正仿宋_GB2312" w:eastAsia="方正仿宋_GB2312" w:cs="方正仿宋_GB2312"/>
          <w:color w:val="auto"/>
          <w:sz w:val="24"/>
          <w:highlight w:val="none"/>
          <w:lang w:val="en-US" w:eastAsia="zh-CN"/>
        </w:rPr>
        <w:t>税金、</w:t>
      </w:r>
      <w:r>
        <w:rPr>
          <w:rFonts w:hint="eastAsia" w:ascii="方正仿宋_GB2312" w:hAnsi="方正仿宋_GB2312" w:eastAsia="方正仿宋_GB2312" w:cs="方正仿宋_GB2312"/>
          <w:color w:val="auto"/>
          <w:sz w:val="24"/>
          <w:highlight w:val="none"/>
        </w:rPr>
        <w:t>乙方提供合同约定的货物及服务所支出的所有费用，甲方在上述合同价款之外不再向乙方支付其他任何费用。</w:t>
      </w:r>
    </w:p>
    <w:p w14:paraId="40606B87">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二、交货时间、地点</w:t>
      </w:r>
    </w:p>
    <w:p w14:paraId="69E0B086">
      <w:pPr>
        <w:spacing w:line="520" w:lineRule="exact"/>
        <w:ind w:firstLine="480" w:firstLineChars="200"/>
        <w:rPr>
          <w:rFonts w:hint="eastAsia" w:ascii="方正仿宋_GB2312" w:hAnsi="方正仿宋_GB2312" w:eastAsia="方正仿宋_GB2312" w:cs="方正仿宋_GB2312"/>
          <w:color w:val="auto"/>
          <w:kern w:val="0"/>
          <w:sz w:val="24"/>
          <w:szCs w:val="22"/>
          <w:highlight w:val="none"/>
          <w:lang w:val="en-US" w:eastAsia="zh-CN" w:bidi="ar-SA"/>
        </w:rPr>
      </w:pPr>
      <w:r>
        <w:rPr>
          <w:rFonts w:hint="eastAsia" w:ascii="方正仿宋_GB2312" w:hAnsi="方正仿宋_GB2312" w:eastAsia="方正仿宋_GB2312" w:cs="方正仿宋_GB2312"/>
          <w:color w:val="auto"/>
          <w:kern w:val="0"/>
          <w:sz w:val="24"/>
          <w:szCs w:val="22"/>
          <w:highlight w:val="none"/>
          <w:lang w:val="en-US" w:eastAsia="zh-CN" w:bidi="ar-SA"/>
        </w:rPr>
        <w:t>（一）合同履行期限：合同签订后30日历天完成供货并安装调试完毕。</w:t>
      </w:r>
    </w:p>
    <w:p w14:paraId="6C5F865E">
      <w:pPr>
        <w:spacing w:line="520" w:lineRule="exact"/>
        <w:ind w:firstLine="480" w:firstLineChars="200"/>
        <w:rPr>
          <w:rFonts w:hint="eastAsia" w:ascii="方正仿宋_GB2312" w:hAnsi="方正仿宋_GB2312" w:eastAsia="方正仿宋_GB2312" w:cs="方正仿宋_GB2312"/>
          <w:color w:val="auto"/>
          <w:kern w:val="0"/>
          <w:sz w:val="24"/>
          <w:szCs w:val="22"/>
          <w:highlight w:val="none"/>
          <w:lang w:val="en-US" w:eastAsia="zh-CN" w:bidi="ar-SA"/>
        </w:rPr>
      </w:pPr>
      <w:r>
        <w:rPr>
          <w:rFonts w:hint="eastAsia" w:ascii="方正仿宋_GB2312" w:hAnsi="方正仿宋_GB2312" w:eastAsia="方正仿宋_GB2312" w:cs="方正仿宋_GB2312"/>
          <w:color w:val="auto"/>
          <w:kern w:val="0"/>
          <w:sz w:val="24"/>
          <w:szCs w:val="22"/>
          <w:highlight w:val="none"/>
          <w:lang w:val="en-US" w:eastAsia="zh-CN" w:bidi="ar-SA"/>
        </w:rPr>
        <w:t>（二）交货地点：宿迁市，具体由甲方指定。</w:t>
      </w:r>
    </w:p>
    <w:p w14:paraId="47801E0E">
      <w:pPr>
        <w:spacing w:line="520" w:lineRule="exact"/>
        <w:ind w:firstLine="480" w:firstLineChars="200"/>
        <w:rPr>
          <w:rFonts w:hint="eastAsia" w:ascii="方正仿宋_GB2312" w:hAnsi="方正仿宋_GB2312" w:eastAsia="方正仿宋_GB2312" w:cs="方正仿宋_GB2312"/>
          <w:color w:val="auto"/>
          <w:kern w:val="0"/>
          <w:sz w:val="24"/>
          <w:szCs w:val="22"/>
          <w:highlight w:val="none"/>
          <w:lang w:val="en-US" w:eastAsia="zh-CN" w:bidi="ar-SA"/>
        </w:rPr>
      </w:pPr>
      <w:r>
        <w:rPr>
          <w:rFonts w:hint="eastAsia" w:ascii="方正仿宋_GB2312" w:hAnsi="方正仿宋_GB2312" w:eastAsia="方正仿宋_GB2312" w:cs="方正仿宋_GB2312"/>
          <w:color w:val="auto"/>
          <w:kern w:val="0"/>
          <w:sz w:val="24"/>
          <w:szCs w:val="22"/>
          <w:highlight w:val="none"/>
          <w:lang w:val="en-US" w:eastAsia="zh-CN" w:bidi="ar-SA"/>
        </w:rPr>
        <w:t>（三）免费质保期：五年，自验收合格之日起算。</w:t>
      </w:r>
    </w:p>
    <w:p w14:paraId="1EE06435">
      <w:pPr>
        <w:spacing w:line="520" w:lineRule="exact"/>
        <w:ind w:firstLine="482" w:firstLineChars="200"/>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rPr>
        <w:t>三、质量</w:t>
      </w:r>
      <w:r>
        <w:rPr>
          <w:rFonts w:hint="eastAsia" w:ascii="方正仿宋_GB2312" w:hAnsi="方正仿宋_GB2312" w:eastAsia="方正仿宋_GB2312" w:cs="方正仿宋_GB2312"/>
          <w:b/>
          <w:color w:val="auto"/>
          <w:sz w:val="24"/>
          <w:highlight w:val="none"/>
          <w:lang w:val="en-US" w:eastAsia="zh-CN"/>
        </w:rPr>
        <w:t>标准</w:t>
      </w:r>
    </w:p>
    <w:p w14:paraId="2EB7CEBE">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合格。</w:t>
      </w:r>
      <w:r>
        <w:rPr>
          <w:rFonts w:hint="eastAsia" w:ascii="方正仿宋_GB2312" w:hAnsi="方正仿宋_GB2312" w:eastAsia="方正仿宋_GB2312" w:cs="方正仿宋_GB2312"/>
          <w:color w:val="auto"/>
          <w:sz w:val="24"/>
          <w:highlight w:val="none"/>
        </w:rPr>
        <w:t>乙方提供的产品</w:t>
      </w:r>
      <w:r>
        <w:rPr>
          <w:rStyle w:val="451"/>
          <w:rFonts w:ascii="仿宋" w:hAnsi="仿宋" w:eastAsia="仿宋" w:cs="仿宋"/>
          <w:color w:val="auto"/>
          <w:highlight w:val="none"/>
        </w:rPr>
        <w:t>（含技术、软件等）必须为原装正品，严禁贴牌、伪造，应为全新未使用的产品，</w:t>
      </w:r>
      <w:r>
        <w:rPr>
          <w:rFonts w:hint="eastAsia" w:ascii="方正仿宋_GB2312" w:hAnsi="方正仿宋_GB2312" w:eastAsia="方正仿宋_GB2312" w:cs="方正仿宋_GB2312"/>
          <w:color w:val="auto"/>
          <w:sz w:val="24"/>
          <w:highlight w:val="none"/>
        </w:rPr>
        <w:t>性能及质量有国家标准的应符合国家标准。无国家标准的应符合行业标准或企业标准，</w:t>
      </w:r>
      <w:r>
        <w:rPr>
          <w:rStyle w:val="451"/>
          <w:rFonts w:ascii="仿宋" w:hAnsi="仿宋" w:eastAsia="仿宋" w:cs="仿宋"/>
          <w:color w:val="auto"/>
          <w:highlight w:val="none"/>
        </w:rPr>
        <w:t>符合招标文件</w:t>
      </w:r>
      <w:r>
        <w:rPr>
          <w:rStyle w:val="451"/>
          <w:rFonts w:hint="eastAsia" w:ascii="仿宋" w:hAnsi="仿宋" w:eastAsia="仿宋" w:cs="仿宋"/>
          <w:color w:val="auto"/>
          <w:highlight w:val="none"/>
          <w:lang w:val="en-US" w:eastAsia="zh-CN"/>
        </w:rPr>
        <w:t>配置和</w:t>
      </w:r>
      <w:r>
        <w:rPr>
          <w:rStyle w:val="451"/>
          <w:rFonts w:ascii="仿宋" w:hAnsi="仿宋" w:eastAsia="仿宋" w:cs="仿宋"/>
          <w:color w:val="auto"/>
          <w:highlight w:val="none"/>
        </w:rPr>
        <w:t>技术参数要求，且以满足项目验收为准，项目货物及服务须满足采购需求</w:t>
      </w:r>
      <w:r>
        <w:rPr>
          <w:rFonts w:hint="eastAsia" w:ascii="方正仿宋_GB2312" w:hAnsi="方正仿宋_GB2312" w:eastAsia="方正仿宋_GB2312" w:cs="方正仿宋_GB2312"/>
          <w:color w:val="auto"/>
          <w:sz w:val="24"/>
          <w:highlight w:val="none"/>
          <w:lang w:eastAsia="zh-CN"/>
        </w:rPr>
        <w:t>，以</w:t>
      </w:r>
      <w:r>
        <w:rPr>
          <w:rFonts w:hint="eastAsia" w:ascii="方正仿宋_GB2312" w:hAnsi="方正仿宋_GB2312" w:eastAsia="方正仿宋_GB2312" w:cs="方正仿宋_GB2312"/>
          <w:color w:val="auto"/>
          <w:sz w:val="24"/>
          <w:highlight w:val="none"/>
          <w:lang w:val="en-US" w:eastAsia="zh-CN"/>
        </w:rPr>
        <w:t>及甲方使用要求</w:t>
      </w:r>
      <w:r>
        <w:rPr>
          <w:rFonts w:hint="eastAsia" w:ascii="方正仿宋_GB2312" w:hAnsi="方正仿宋_GB2312" w:eastAsia="方正仿宋_GB2312" w:cs="方正仿宋_GB2312"/>
          <w:color w:val="auto"/>
          <w:sz w:val="24"/>
          <w:highlight w:val="none"/>
        </w:rPr>
        <w:t>。</w:t>
      </w:r>
    </w:p>
    <w:p w14:paraId="1591909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乙方</w:t>
      </w:r>
      <w:r>
        <w:rPr>
          <w:rFonts w:hint="eastAsia" w:ascii="方正仿宋_GB2312" w:hAnsi="方正仿宋_GB2312" w:eastAsia="方正仿宋_GB2312" w:cs="方正仿宋_GB2312"/>
          <w:color w:val="auto"/>
          <w:sz w:val="24"/>
          <w:highlight w:val="none"/>
        </w:rPr>
        <w:t>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w:t>
      </w:r>
    </w:p>
    <w:p w14:paraId="26136358">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四、</w:t>
      </w:r>
      <w:r>
        <w:rPr>
          <w:rFonts w:hint="eastAsia" w:ascii="方正仿宋_GB2312" w:hAnsi="方正仿宋_GB2312" w:eastAsia="方正仿宋_GB2312" w:cs="方正仿宋_GB2312"/>
          <w:b/>
          <w:color w:val="auto"/>
          <w:sz w:val="24"/>
          <w:highlight w:val="none"/>
          <w:lang w:val="en-US" w:eastAsia="zh-CN"/>
        </w:rPr>
        <w:t>运输、安装</w:t>
      </w:r>
      <w:r>
        <w:rPr>
          <w:rFonts w:hint="eastAsia" w:ascii="方正仿宋_GB2312" w:hAnsi="方正仿宋_GB2312" w:eastAsia="方正仿宋_GB2312" w:cs="方正仿宋_GB2312"/>
          <w:b/>
          <w:color w:val="auto"/>
          <w:sz w:val="24"/>
          <w:highlight w:val="none"/>
        </w:rPr>
        <w:t>方式及费用</w:t>
      </w:r>
    </w:p>
    <w:p w14:paraId="2EDF9466">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Style w:val="451"/>
          <w:rFonts w:hint="eastAsia" w:ascii="仿宋" w:hAnsi="仿宋" w:eastAsia="仿宋" w:cs="仿宋"/>
          <w:color w:val="auto"/>
          <w:sz w:val="24"/>
          <w:szCs w:val="24"/>
          <w:highlight w:val="none"/>
          <w:lang w:val="en-US" w:eastAsia="zh-CN"/>
        </w:rPr>
        <w:t>乙方负责将货物运输至甲方指定地点，运输过程中的各种风险由乙方承担，</w:t>
      </w:r>
      <w:r>
        <w:rPr>
          <w:rFonts w:hint="eastAsia" w:ascii="方正仿宋_GB2312" w:hAnsi="方正仿宋_GB2312" w:eastAsia="方正仿宋_GB2312" w:cs="方正仿宋_GB2312"/>
          <w:color w:val="auto"/>
          <w:sz w:val="24"/>
          <w:highlight w:val="none"/>
        </w:rPr>
        <w:t>运输方式由乙方视情况自定，费用自负</w:t>
      </w: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lang w:val="en-US" w:eastAsia="zh-CN"/>
        </w:rPr>
        <w:t>并按照甲方要求免费安装、调试并经验收合格交付甲方使用。</w:t>
      </w:r>
    </w:p>
    <w:p w14:paraId="19882668">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五、验收</w:t>
      </w:r>
    </w:p>
    <w:p w14:paraId="13ED8749">
      <w:pPr>
        <w:numPr>
          <w:ilvl w:val="0"/>
          <w:numId w:val="5"/>
        </w:numPr>
        <w:spacing w:line="500" w:lineRule="exact"/>
        <w:ind w:firstLine="480" w:firstLineChars="20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乙方在接到甲方进场通知后3天内将货物送至甲方指定地点并安装调试完毕后，向甲方提交项目验收技术资料以及验收申请单，甲方收到申请后7个工作日内组织验收，验收内容包括：型号、规格、数量、质量，以及技术服务等是否符合要求。</w:t>
      </w:r>
    </w:p>
    <w:p w14:paraId="4C5C287D">
      <w:pPr>
        <w:numPr>
          <w:ilvl w:val="0"/>
          <w:numId w:val="5"/>
        </w:numPr>
        <w:spacing w:line="500" w:lineRule="exact"/>
        <w:ind w:firstLine="48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甲方</w:t>
      </w:r>
      <w:r>
        <w:rPr>
          <w:rFonts w:hint="eastAsia" w:ascii="方正仿宋_GB2312" w:hAnsi="方正仿宋_GB2312" w:eastAsia="方正仿宋_GB2312" w:cs="方正仿宋_GB2312"/>
          <w:color w:val="auto"/>
          <w:sz w:val="24"/>
          <w:highlight w:val="none"/>
          <w:lang w:val="en-US" w:eastAsia="zh-CN"/>
        </w:rPr>
        <w:t>应当</w:t>
      </w:r>
      <w:r>
        <w:rPr>
          <w:rFonts w:hint="eastAsia" w:ascii="方正仿宋_GB2312" w:hAnsi="方正仿宋_GB2312" w:eastAsia="方正仿宋_GB2312" w:cs="方正仿宋_GB2312"/>
          <w:color w:val="auto"/>
          <w:sz w:val="24"/>
          <w:highlight w:val="none"/>
        </w:rPr>
        <w:t>组</w:t>
      </w:r>
      <w:r>
        <w:rPr>
          <w:rFonts w:hint="eastAsia" w:ascii="方正仿宋_GB2312" w:hAnsi="方正仿宋_GB2312" w:eastAsia="方正仿宋_GB2312" w:cs="方正仿宋_GB2312"/>
          <w:color w:val="auto"/>
          <w:sz w:val="24"/>
          <w:highlight w:val="none"/>
          <w:lang w:val="en-US" w:eastAsia="zh-CN"/>
        </w:rPr>
        <w:t>成</w:t>
      </w:r>
      <w:r>
        <w:rPr>
          <w:rFonts w:hint="eastAsia" w:ascii="方正仿宋_GB2312" w:hAnsi="方正仿宋_GB2312" w:eastAsia="方正仿宋_GB2312" w:cs="方正仿宋_GB2312"/>
          <w:color w:val="auto"/>
          <w:sz w:val="24"/>
          <w:highlight w:val="none"/>
        </w:rPr>
        <w:t>验收小组，验收小组</w:t>
      </w:r>
      <w:r>
        <w:rPr>
          <w:rFonts w:hint="eastAsia" w:ascii="方正仿宋_GB2312" w:hAnsi="方正仿宋_GB2312" w:eastAsia="方正仿宋_GB2312" w:cs="方正仿宋_GB2312"/>
          <w:color w:val="auto"/>
          <w:sz w:val="24"/>
          <w:highlight w:val="none"/>
          <w:lang w:val="en-US" w:eastAsia="zh-CN"/>
        </w:rPr>
        <w:t>应当按照采购约定的验收标准，对乙方的履约情况开展验收</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lang w:val="en-US" w:eastAsia="zh-CN"/>
        </w:rPr>
        <w:t>验收结束后，验收人员出具验收报告并签字。</w:t>
      </w:r>
    </w:p>
    <w:p w14:paraId="2022FB74">
      <w:pPr>
        <w:pStyle w:val="452"/>
        <w:spacing w:line="520" w:lineRule="exact"/>
        <w:ind w:firstLine="480"/>
        <w:rPr>
          <w:rStyle w:val="451"/>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lang w:val="en-US" w:eastAsia="zh-CN"/>
        </w:rPr>
        <w:t>三）</w:t>
      </w:r>
      <w:r>
        <w:rPr>
          <w:rFonts w:hint="eastAsia" w:ascii="方正仿宋_GB2312" w:hAnsi="方正仿宋_GB2312" w:eastAsia="方正仿宋_GB2312" w:cs="方正仿宋_GB2312"/>
          <w:color w:val="auto"/>
          <w:sz w:val="24"/>
          <w:highlight w:val="none"/>
        </w:rPr>
        <w:t>甲方在验收中，如发现有与合同规定不符的，</w:t>
      </w:r>
      <w:r>
        <w:rPr>
          <w:rFonts w:hint="eastAsia" w:ascii="方正仿宋_GB2312" w:hAnsi="方正仿宋_GB2312" w:eastAsia="方正仿宋_GB2312" w:cs="方正仿宋_GB2312"/>
          <w:color w:val="auto"/>
          <w:sz w:val="24"/>
          <w:highlight w:val="none"/>
          <w:lang w:val="en-US" w:eastAsia="zh-CN"/>
        </w:rPr>
        <w:t>可</w:t>
      </w:r>
      <w:r>
        <w:rPr>
          <w:rFonts w:hint="eastAsia" w:ascii="方正仿宋_GB2312" w:hAnsi="方正仿宋_GB2312" w:eastAsia="方正仿宋_GB2312" w:cs="方正仿宋_GB2312"/>
          <w:color w:val="auto"/>
          <w:sz w:val="24"/>
          <w:highlight w:val="none"/>
        </w:rPr>
        <w:t>向乙方提出书面意见，不签发验收单。乙方在接到甲方书面意见后，应在</w:t>
      </w:r>
      <w:r>
        <w:rPr>
          <w:rFonts w:hint="eastAsia" w:ascii="方正仿宋_GB2312" w:hAnsi="方正仿宋_GB2312" w:eastAsia="方正仿宋_GB2312" w:cs="方正仿宋_GB2312"/>
          <w:color w:val="auto"/>
          <w:sz w:val="24"/>
          <w:highlight w:val="none"/>
          <w:lang w:val="en-US" w:eastAsia="zh-CN"/>
        </w:rPr>
        <w:t>1</w:t>
      </w:r>
      <w:r>
        <w:rPr>
          <w:rFonts w:hint="eastAsia" w:ascii="方正仿宋_GB2312" w:hAnsi="方正仿宋_GB2312" w:eastAsia="方正仿宋_GB2312" w:cs="方正仿宋_GB2312"/>
          <w:color w:val="auto"/>
          <w:sz w:val="24"/>
          <w:highlight w:val="none"/>
        </w:rPr>
        <w:t>天内予以处理</w:t>
      </w:r>
      <w:r>
        <w:rPr>
          <w:rFonts w:hint="eastAsia" w:ascii="方正仿宋_GB2312" w:hAnsi="方正仿宋_GB2312" w:eastAsia="方正仿宋_GB2312" w:cs="方正仿宋_GB2312"/>
          <w:color w:val="auto"/>
          <w:sz w:val="24"/>
          <w:highlight w:val="none"/>
          <w:lang w:val="en-US" w:eastAsia="zh-CN"/>
        </w:rPr>
        <w:t>完毕</w:t>
      </w:r>
      <w:r>
        <w:rPr>
          <w:rStyle w:val="451"/>
          <w:rFonts w:hint="eastAsia" w:ascii="仿宋" w:hAnsi="仿宋" w:eastAsia="仿宋" w:cs="仿宋"/>
          <w:color w:val="auto"/>
          <w:sz w:val="24"/>
          <w:szCs w:val="24"/>
          <w:highlight w:val="none"/>
        </w:rPr>
        <w:t>并将处理结果书面告知甲方。</w:t>
      </w:r>
    </w:p>
    <w:p w14:paraId="706DCFCE">
      <w:pPr>
        <w:pStyle w:val="452"/>
        <w:spacing w:line="520" w:lineRule="exact"/>
        <w:ind w:firstLine="480"/>
        <w:rPr>
          <w:rStyle w:val="451"/>
          <w:rFonts w:hint="eastAsia" w:ascii="仿宋" w:hAnsi="仿宋" w:eastAsia="仿宋" w:cs="仿宋"/>
          <w:color w:val="auto"/>
          <w:sz w:val="24"/>
          <w:szCs w:val="24"/>
          <w:highlight w:val="none"/>
        </w:rPr>
      </w:pPr>
      <w:r>
        <w:rPr>
          <w:rStyle w:val="451"/>
          <w:rFonts w:hint="eastAsia" w:ascii="仿宋" w:hAnsi="仿宋" w:eastAsia="仿宋" w:cs="仿宋"/>
          <w:color w:val="auto"/>
          <w:sz w:val="24"/>
          <w:szCs w:val="24"/>
          <w:highlight w:val="none"/>
          <w:lang w:eastAsia="zh-CN"/>
        </w:rPr>
        <w:t>（</w:t>
      </w:r>
      <w:r>
        <w:rPr>
          <w:rStyle w:val="451"/>
          <w:rFonts w:hint="eastAsia" w:ascii="仿宋" w:hAnsi="仿宋" w:eastAsia="仿宋" w:cs="仿宋"/>
          <w:color w:val="auto"/>
          <w:sz w:val="24"/>
          <w:szCs w:val="24"/>
          <w:highlight w:val="none"/>
          <w:lang w:val="en-US" w:eastAsia="zh-CN"/>
        </w:rPr>
        <w:t>四）</w:t>
      </w:r>
      <w:r>
        <w:rPr>
          <w:rStyle w:val="451"/>
          <w:rFonts w:hint="eastAsia" w:ascii="仿宋" w:hAnsi="仿宋" w:eastAsia="仿宋" w:cs="仿宋"/>
          <w:color w:val="auto"/>
          <w:sz w:val="24"/>
          <w:szCs w:val="24"/>
          <w:highlight w:val="none"/>
        </w:rPr>
        <w:t>如果验收不合格,甲方有权拒绝付款，乙方应在甲方限定时间内予以更换符合要求的货物，乙方自行承担由此产生的所有费用。</w:t>
      </w:r>
    </w:p>
    <w:p w14:paraId="7932CD7C">
      <w:pPr>
        <w:spacing w:line="52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六、付款方式</w:t>
      </w:r>
    </w:p>
    <w:p w14:paraId="6D411266">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对于满足合同约定支付条件的，自收到发票后10个工作日内将资金支付到合同约定的</w:t>
      </w:r>
      <w:r>
        <w:rPr>
          <w:rFonts w:hint="eastAsia" w:ascii="方正仿宋_GB2312" w:hAnsi="方正仿宋_GB2312" w:eastAsia="方正仿宋_GB2312" w:cs="方正仿宋_GB2312"/>
          <w:color w:val="auto"/>
          <w:sz w:val="24"/>
          <w:szCs w:val="28"/>
          <w:highlight w:val="none"/>
          <w:lang w:val="en-US" w:eastAsia="zh-CN"/>
        </w:rPr>
        <w:t>乙方</w:t>
      </w:r>
      <w:r>
        <w:rPr>
          <w:rFonts w:hint="default" w:ascii="方正仿宋_GB2312" w:hAnsi="方正仿宋_GB2312" w:eastAsia="方正仿宋_GB2312" w:cs="方正仿宋_GB2312"/>
          <w:color w:val="auto"/>
          <w:sz w:val="24"/>
          <w:szCs w:val="28"/>
          <w:highlight w:val="none"/>
          <w:lang w:val="en-US" w:eastAsia="zh-CN"/>
        </w:rPr>
        <w:t>账户或</w:t>
      </w:r>
      <w:r>
        <w:rPr>
          <w:rFonts w:hint="eastAsia" w:ascii="方正仿宋_GB2312" w:hAnsi="方正仿宋_GB2312" w:eastAsia="方正仿宋_GB2312" w:cs="方正仿宋_GB2312"/>
          <w:color w:val="auto"/>
          <w:sz w:val="24"/>
          <w:szCs w:val="28"/>
          <w:highlight w:val="none"/>
          <w:lang w:val="en-US" w:eastAsia="zh-CN"/>
        </w:rPr>
        <w:t>乙方</w:t>
      </w:r>
      <w:r>
        <w:rPr>
          <w:rFonts w:hint="default" w:ascii="方正仿宋_GB2312" w:hAnsi="方正仿宋_GB2312" w:eastAsia="方正仿宋_GB2312" w:cs="方正仿宋_GB2312"/>
          <w:color w:val="auto"/>
          <w:sz w:val="24"/>
          <w:szCs w:val="28"/>
          <w:highlight w:val="none"/>
          <w:lang w:val="en-US" w:eastAsia="zh-CN"/>
        </w:rPr>
        <w:t>数字人民币账户。</w:t>
      </w:r>
    </w:p>
    <w:p w14:paraId="25943C22">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1</w:t>
      </w:r>
      <w:r>
        <w:rPr>
          <w:rFonts w:hint="eastAsia" w:ascii="方正仿宋_GB2312" w:hAnsi="方正仿宋_GB2312" w:eastAsia="方正仿宋_GB2312" w:cs="方正仿宋_GB2312"/>
          <w:color w:val="auto"/>
          <w:sz w:val="24"/>
          <w:szCs w:val="28"/>
          <w:highlight w:val="none"/>
          <w:lang w:val="en-US" w:eastAsia="zh-CN"/>
        </w:rPr>
        <w:t>.</w:t>
      </w:r>
      <w:r>
        <w:rPr>
          <w:rFonts w:hint="default" w:ascii="方正仿宋_GB2312" w:hAnsi="方正仿宋_GB2312" w:eastAsia="方正仿宋_GB2312" w:cs="方正仿宋_GB2312"/>
          <w:color w:val="auto"/>
          <w:sz w:val="24"/>
          <w:szCs w:val="28"/>
          <w:highlight w:val="none"/>
          <w:lang w:val="en-US" w:eastAsia="zh-CN"/>
        </w:rPr>
        <w:t>合同签订</w:t>
      </w:r>
      <w:r>
        <w:rPr>
          <w:rFonts w:hint="eastAsia" w:ascii="方正仿宋_GB2312" w:hAnsi="方正仿宋_GB2312" w:eastAsia="方正仿宋_GB2312" w:cs="方正仿宋_GB2312"/>
          <w:color w:val="auto"/>
          <w:sz w:val="24"/>
          <w:szCs w:val="28"/>
          <w:highlight w:val="none"/>
          <w:lang w:val="en-US" w:eastAsia="zh-CN"/>
        </w:rPr>
        <w:t>后</w:t>
      </w:r>
      <w:r>
        <w:rPr>
          <w:rFonts w:hint="default" w:ascii="方正仿宋_GB2312" w:hAnsi="方正仿宋_GB2312" w:eastAsia="方正仿宋_GB2312" w:cs="方正仿宋_GB2312"/>
          <w:color w:val="auto"/>
          <w:sz w:val="24"/>
          <w:szCs w:val="28"/>
          <w:highlight w:val="none"/>
          <w:lang w:val="en-US" w:eastAsia="zh-CN"/>
        </w:rPr>
        <w:t>，支付合同价款的30%作为预付款；</w:t>
      </w:r>
    </w:p>
    <w:p w14:paraId="421B30AB">
      <w:pPr>
        <w:spacing w:line="480" w:lineRule="exact"/>
        <w:ind w:firstLine="480" w:firstLineChars="200"/>
        <w:jc w:val="lef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2.完成供货并安装调试完毕，且经验收合格后，付清剩余款项。</w:t>
      </w:r>
    </w:p>
    <w:p w14:paraId="3F5D5EE5">
      <w:pPr>
        <w:pageBreakBefore w:val="0"/>
        <w:widowControl w:val="0"/>
        <w:spacing w:line="560" w:lineRule="exact"/>
        <w:ind w:left="0" w:firstLine="480"/>
        <w:rPr>
          <w:rFonts w:hint="eastAsia" w:ascii="仿宋" w:hAnsi="仿宋" w:eastAsia="仿宋" w:cs="仿宋"/>
          <w:b w:val="0"/>
          <w:bCs/>
          <w:caps w:val="0"/>
          <w:color w:val="auto"/>
          <w:sz w:val="24"/>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注：（1）</w:t>
      </w:r>
      <w:r>
        <w:rPr>
          <w:rFonts w:hint="eastAsia" w:ascii="仿宋" w:hAnsi="仿宋" w:eastAsia="仿宋" w:cs="仿宋"/>
          <w:b w:val="0"/>
          <w:bCs/>
          <w:caps w:val="0"/>
          <w:color w:val="auto"/>
          <w:sz w:val="24"/>
          <w:highlight w:val="none"/>
          <w:lang w:val="en-US" w:eastAsia="zh-CN"/>
        </w:rPr>
        <w:t>付款前，乙方应向甲方提供符合要求的增值税发票，否则，甲方有权拒绝付款，同时不免除乙方合同履行义务。甲方可从应付款中直接扣除乙方应承担的违约金或其他费用。</w:t>
      </w:r>
    </w:p>
    <w:p w14:paraId="40458337">
      <w:pPr>
        <w:spacing w:line="480" w:lineRule="exact"/>
        <w:ind w:firstLine="480" w:firstLineChars="200"/>
        <w:jc w:val="lef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（2）在签订合同时，乙方明确表示无需预付款或者主动要求降低预付款比例的金额，甲方可不适用预付款规定。</w:t>
      </w:r>
    </w:p>
    <w:p w14:paraId="6C80E61C">
      <w:pPr>
        <w:spacing w:line="520" w:lineRule="exact"/>
        <w:ind w:right="-73" w:firstLine="472" w:firstLineChars="196"/>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七、售后服务</w:t>
      </w:r>
    </w:p>
    <w:p w14:paraId="6507EE7C">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1.验收合格之日起乙方对设备、货物等提供5年免费质保期</w:t>
      </w:r>
      <w:r>
        <w:rPr>
          <w:rFonts w:hint="eastAsia" w:ascii="方正仿宋_GB2312" w:hAnsi="方正仿宋_GB2312" w:eastAsia="方正仿宋_GB2312" w:cs="方正仿宋_GB2312"/>
          <w:b/>
          <w:bCs/>
          <w:color w:val="auto"/>
          <w:sz w:val="24"/>
          <w:szCs w:val="24"/>
          <w:highlight w:val="none"/>
          <w:lang w:val="en-US" w:eastAsia="zh-CN"/>
        </w:rPr>
        <w:t>（由设备生产厂家提供质保服务）</w:t>
      </w:r>
      <w:r>
        <w:rPr>
          <w:rFonts w:hint="eastAsia" w:ascii="方正仿宋_GB2312" w:hAnsi="方正仿宋_GB2312" w:eastAsia="方正仿宋_GB2312" w:cs="方正仿宋_GB2312"/>
          <w:color w:val="auto"/>
          <w:sz w:val="24"/>
          <w:highlight w:val="none"/>
          <w:lang w:val="en-US" w:eastAsia="zh-CN"/>
        </w:rPr>
        <w:t>。质保期内，乙方对产品质量实行三包，因设备、货物配置或制造质量问题而引起的故障，乙方应在接到甲方通知48小时内立即予以免费维修或更换完毕且不得影响甲方使用，由此引起的一切费用由乙方承担。</w:t>
      </w:r>
    </w:p>
    <w:p w14:paraId="07327CBE">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2、乙方需明确本项目的联系人，保证联系人手机、邮箱24小时畅通，并开通报障邮箱的自动回复功能，以接收甲方的服务请求。若因乙方原因导致服务时限不能满足本项目需求，则由乙方承担所有责任。</w:t>
      </w:r>
    </w:p>
    <w:p w14:paraId="164CF110">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3.在质保及免费维保期内，对于甲方的报障服务请求，要在接报后2个工作日内到达故障现场，4个工作日内修复完毕；如果是因硬件设备故障，在检修4个工作日后仍无法修复，需要在5个工作日内免费提供不低于故障设备规格型号档次的备用设备供甲方替代使用，直至故障设备修复为止。</w:t>
      </w:r>
    </w:p>
    <w:p w14:paraId="0B1577C2">
      <w:pPr>
        <w:spacing w:line="520" w:lineRule="exact"/>
        <w:ind w:firstLine="480" w:firstLineChars="20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4.在质保及免费维保期内，乙方需要到甲方指定地点进行定期巡检维护每年一次，每次做好记录出具巡检书面报告，并由双方签名验收，由此产生的所有费用由乙方负责。</w:t>
      </w:r>
    </w:p>
    <w:p w14:paraId="17EC5842">
      <w:pPr>
        <w:spacing w:line="520" w:lineRule="exact"/>
        <w:ind w:left="479" w:leftChars="228"/>
        <w:rPr>
          <w:rFonts w:hint="eastAsia"/>
          <w:color w:val="auto"/>
          <w:highlight w:val="none"/>
          <w:lang w:val="en-US" w:eastAsia="zh-CN"/>
        </w:rPr>
      </w:pPr>
      <w:r>
        <w:rPr>
          <w:rFonts w:hint="eastAsia" w:ascii="方正仿宋_GB2312" w:hAnsi="方正仿宋_GB2312" w:eastAsia="方正仿宋_GB2312" w:cs="方正仿宋_GB2312"/>
          <w:color w:val="auto"/>
          <w:sz w:val="24"/>
          <w:highlight w:val="none"/>
          <w:lang w:val="en-US" w:eastAsia="zh-CN"/>
        </w:rPr>
        <w:t>5.提供的设备必须是原装合格全新产品、符合国家有关规定且证件齐全，保证质量。</w:t>
      </w:r>
      <w:r>
        <w:rPr>
          <w:rFonts w:hint="eastAsia" w:ascii="方正仿宋_GB2312" w:hAnsi="方正仿宋_GB2312" w:eastAsia="方正仿宋_GB2312" w:cs="方正仿宋_GB2312"/>
          <w:color w:val="auto"/>
          <w:sz w:val="24"/>
          <w:highlight w:val="none"/>
        </w:rPr>
        <w:t>注：乙方投标承诺中售后服务方案优于上述要求的，优先执行投标承诺内容。</w:t>
      </w:r>
    </w:p>
    <w:p w14:paraId="6C192B0B">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八、违约条款</w:t>
      </w:r>
    </w:p>
    <w:p w14:paraId="6440D68C">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1、</w:t>
      </w:r>
      <w:r>
        <w:rPr>
          <w:rFonts w:hint="default" w:ascii="方正仿宋_GB2312" w:hAnsi="方正仿宋_GB2312" w:eastAsia="方正仿宋_GB2312" w:cs="方正仿宋_GB2312"/>
          <w:color w:val="auto"/>
          <w:sz w:val="24"/>
          <w:highlight w:val="none"/>
        </w:rPr>
        <w:t xml:space="preserve">乙方未按约定期限供货的，每逾期一日应向甲方支付合同总额3‰的违约金。如乙方逾期履行达15日，甲方有权单方解除合同，解除合同的通知自送达乙方时生效。甲方选择解除合同的，乙方须返还已付款项，并按合同总价30%支付违约金。 </w:t>
      </w:r>
    </w:p>
    <w:p w14:paraId="4E4D6823">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2、</w:t>
      </w:r>
      <w:r>
        <w:rPr>
          <w:rFonts w:hint="default" w:ascii="方正仿宋_GB2312" w:hAnsi="方正仿宋_GB2312" w:eastAsia="方正仿宋_GB2312" w:cs="方正仿宋_GB2312"/>
          <w:color w:val="auto"/>
          <w:sz w:val="24"/>
          <w:highlight w:val="none"/>
        </w:rPr>
        <w:t>本项目不得转让、分包，如有发生，甲方有权解除合同，有权要求乙方退还甲方已付款项，并由乙方支付合同总价30%违约金。</w:t>
      </w:r>
    </w:p>
    <w:p w14:paraId="1C982FF7">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3、</w:t>
      </w:r>
      <w:r>
        <w:rPr>
          <w:rFonts w:hint="default" w:ascii="方正仿宋_GB2312" w:hAnsi="方正仿宋_GB2312" w:eastAsia="方正仿宋_GB2312" w:cs="方正仿宋_GB2312"/>
          <w:color w:val="auto"/>
          <w:sz w:val="24"/>
          <w:highlight w:val="none"/>
        </w:rPr>
        <w:t>乙方未按本合同约定提供售后服务的，甲方可选择是否委托第三方代为处理，由此产生的费用及损失均由乙方承担，每出现一次，乙方应按合同总价10%向甲方支付违约金，并承担非乙方提供的售后服务产生的所有费用。</w:t>
      </w:r>
    </w:p>
    <w:p w14:paraId="1FE55653">
      <w:pPr>
        <w:spacing w:line="520" w:lineRule="exact"/>
        <w:ind w:firstLine="480" w:firstLineChars="200"/>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4、</w:t>
      </w:r>
      <w:r>
        <w:rPr>
          <w:rFonts w:hint="default" w:ascii="方正仿宋_GB2312" w:hAnsi="方正仿宋_GB2312" w:eastAsia="方正仿宋_GB2312" w:cs="方正仿宋_GB2312"/>
          <w:color w:val="auto"/>
          <w:sz w:val="24"/>
          <w:highlight w:val="none"/>
          <w:lang w:val="en-US" w:eastAsia="zh-CN"/>
        </w:rPr>
        <w:t>乙方所供货物经</w:t>
      </w:r>
      <w:r>
        <w:rPr>
          <w:rFonts w:hint="default" w:ascii="方正仿宋_GB2312" w:hAnsi="方正仿宋_GB2312" w:eastAsia="方正仿宋_GB2312" w:cs="方正仿宋_GB2312"/>
          <w:color w:val="auto"/>
          <w:sz w:val="24"/>
          <w:highlight w:val="none"/>
        </w:rPr>
        <w:t>甲方验收不合格的，有权拒绝付款，</w:t>
      </w:r>
      <w:r>
        <w:rPr>
          <w:rFonts w:ascii="方正仿宋_GB2312" w:hAnsi="方正仿宋_GB2312" w:eastAsia="方正仿宋_GB2312" w:cs="方正仿宋_GB2312"/>
          <w:color w:val="auto"/>
          <w:sz w:val="24"/>
          <w:highlight w:val="none"/>
        </w:rPr>
        <w:t>乙方应在甲方限定时间内予以更换符合要求的</w:t>
      </w:r>
      <w:r>
        <w:rPr>
          <w:rFonts w:hint="default" w:ascii="方正仿宋_GB2312" w:hAnsi="方正仿宋_GB2312" w:eastAsia="方正仿宋_GB2312" w:cs="方正仿宋_GB2312"/>
          <w:color w:val="auto"/>
          <w:sz w:val="24"/>
          <w:highlight w:val="none"/>
        </w:rPr>
        <w:t>货物</w:t>
      </w:r>
      <w:r>
        <w:rPr>
          <w:rFonts w:ascii="方正仿宋_GB2312" w:hAnsi="方正仿宋_GB2312" w:eastAsia="方正仿宋_GB2312" w:cs="方正仿宋_GB2312"/>
          <w:color w:val="auto"/>
          <w:sz w:val="24"/>
          <w:highlight w:val="none"/>
        </w:rPr>
        <w:t>，</w:t>
      </w:r>
      <w:r>
        <w:rPr>
          <w:rFonts w:hint="default" w:ascii="方正仿宋_GB2312" w:hAnsi="方正仿宋_GB2312" w:eastAsia="方正仿宋_GB2312" w:cs="方正仿宋_GB2312"/>
          <w:color w:val="auto"/>
          <w:sz w:val="24"/>
          <w:highlight w:val="none"/>
        </w:rPr>
        <w:t>乙方自行承担由此产生的所有费用，造成逾期的按本条第</w:t>
      </w:r>
      <w:r>
        <w:rPr>
          <w:rFonts w:hint="eastAsia" w:ascii="方正仿宋_GB2312" w:hAnsi="方正仿宋_GB2312" w:eastAsia="方正仿宋_GB2312" w:cs="方正仿宋_GB2312"/>
          <w:color w:val="auto"/>
          <w:sz w:val="24"/>
          <w:highlight w:val="none"/>
          <w:lang w:val="en-US" w:eastAsia="zh-CN"/>
        </w:rPr>
        <w:t>1</w:t>
      </w:r>
      <w:r>
        <w:rPr>
          <w:rFonts w:hint="default" w:ascii="方正仿宋_GB2312" w:hAnsi="方正仿宋_GB2312" w:eastAsia="方正仿宋_GB2312" w:cs="方正仿宋_GB2312"/>
          <w:color w:val="auto"/>
          <w:sz w:val="24"/>
          <w:highlight w:val="none"/>
        </w:rPr>
        <w:t>款承担逾期违约责任。</w:t>
      </w:r>
    </w:p>
    <w:p w14:paraId="401BB80E">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5</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合同签订后，乙方单方终止或解除合同的，除应退还甲方已付款项外，还应支付合同总</w:t>
      </w:r>
      <w:r>
        <w:rPr>
          <w:rFonts w:hint="default" w:ascii="方正仿宋_GB2312" w:hAnsi="方正仿宋_GB2312" w:eastAsia="方正仿宋_GB2312" w:cs="方正仿宋_GB2312"/>
          <w:color w:val="auto"/>
          <w:sz w:val="24"/>
          <w:highlight w:val="none"/>
          <w:lang w:val="en-US" w:eastAsia="zh-CN"/>
        </w:rPr>
        <w:t>价</w:t>
      </w:r>
      <w:r>
        <w:rPr>
          <w:rFonts w:hint="default" w:ascii="方正仿宋_GB2312" w:hAnsi="方正仿宋_GB2312" w:eastAsia="方正仿宋_GB2312" w:cs="方正仿宋_GB2312"/>
          <w:color w:val="auto"/>
          <w:sz w:val="24"/>
          <w:highlight w:val="none"/>
        </w:rPr>
        <w:t>30%违约金。</w:t>
      </w:r>
    </w:p>
    <w:p w14:paraId="356EF469">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6</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乙方另应支付合同总价30%的违约金。不足弥补甲方损失的，仍需赔偿。</w:t>
      </w:r>
    </w:p>
    <w:p w14:paraId="07689437">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7</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甲方未按约定期限付款的，应就逾期部分向乙方支付按全国银行间同业拆借中心公布的一年期贷款市场报价利率计算的逾期付款违约金。</w:t>
      </w:r>
    </w:p>
    <w:p w14:paraId="1F975D35">
      <w:pPr>
        <w:spacing w:line="520" w:lineRule="exact"/>
        <w:ind w:firstLine="480" w:firstLineChars="200"/>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8</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违约方应承担守约方主张权益产生的包括但不限于交通费、误工费、律师费、鉴定费、保全费、保全保险费、诉讼费等相关费用。</w:t>
      </w:r>
    </w:p>
    <w:p w14:paraId="6E600936">
      <w:pPr>
        <w:spacing w:line="520" w:lineRule="exact"/>
        <w:ind w:firstLine="480" w:firstLineChars="200"/>
        <w:rPr>
          <w:rFonts w:hint="default"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9</w:t>
      </w:r>
      <w:r>
        <w:rPr>
          <w:rFonts w:hint="eastAsia" w:ascii="方正仿宋_GB2312" w:hAnsi="方正仿宋_GB2312" w:eastAsia="方正仿宋_GB2312" w:cs="方正仿宋_GB2312"/>
          <w:color w:val="auto"/>
          <w:sz w:val="24"/>
          <w:highlight w:val="none"/>
          <w:lang w:eastAsia="zh-CN"/>
        </w:rPr>
        <w:t>、</w:t>
      </w:r>
      <w:r>
        <w:rPr>
          <w:rFonts w:hint="default" w:ascii="方正仿宋_GB2312" w:hAnsi="方正仿宋_GB2312" w:eastAsia="方正仿宋_GB2312" w:cs="方正仿宋_GB2312"/>
          <w:color w:val="auto"/>
          <w:sz w:val="24"/>
          <w:highlight w:val="none"/>
        </w:rPr>
        <w:t>如果出现政府采购监督管理部门在处理投诉事项期间，通知甲方暂停采购活动的情形，或者询问或质疑事项可能影响</w:t>
      </w:r>
      <w:r>
        <w:rPr>
          <w:rFonts w:hint="default" w:ascii="方正仿宋_GB2312" w:hAnsi="方正仿宋_GB2312" w:eastAsia="方正仿宋_GB2312" w:cs="方正仿宋_GB2312"/>
          <w:color w:val="auto"/>
          <w:sz w:val="24"/>
          <w:highlight w:val="none"/>
          <w:lang w:val="en-US" w:eastAsia="zh-CN"/>
        </w:rPr>
        <w:t>采购</w:t>
      </w:r>
      <w:r>
        <w:rPr>
          <w:rFonts w:hint="default" w:ascii="方正仿宋_GB2312" w:hAnsi="方正仿宋_GB2312" w:eastAsia="方正仿宋_GB2312" w:cs="方正仿宋_GB2312"/>
          <w:color w:val="auto"/>
          <w:sz w:val="24"/>
          <w:highlight w:val="none"/>
        </w:rPr>
        <w:t>结果的，导致甲方终止履行合同的情形，均不视为甲方违约。</w:t>
      </w:r>
    </w:p>
    <w:p w14:paraId="4805678E">
      <w:pPr>
        <w:spacing w:line="520" w:lineRule="exact"/>
        <w:ind w:firstLine="482" w:firstLineChars="200"/>
        <w:rPr>
          <w:rFonts w:hint="default"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九、</w:t>
      </w:r>
      <w:r>
        <w:rPr>
          <w:rFonts w:hint="default" w:ascii="方正仿宋_GB2312" w:hAnsi="方正仿宋_GB2312" w:eastAsia="方正仿宋_GB2312" w:cs="方正仿宋_GB2312"/>
          <w:b/>
          <w:bCs/>
          <w:color w:val="auto"/>
          <w:sz w:val="24"/>
          <w:highlight w:val="none"/>
        </w:rPr>
        <w:t>合同争议的解决</w:t>
      </w:r>
    </w:p>
    <w:p w14:paraId="49DC38C5">
      <w:pPr>
        <w:spacing w:line="520" w:lineRule="exact"/>
        <w:ind w:firstLine="480" w:firstLineChars="200"/>
        <w:rPr>
          <w:rFonts w:hint="default"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1、</w:t>
      </w:r>
      <w:r>
        <w:rPr>
          <w:rFonts w:hint="default" w:ascii="方正仿宋_GB2312" w:hAnsi="方正仿宋_GB2312" w:eastAsia="方正仿宋_GB2312" w:cs="方正仿宋_GB2312"/>
          <w:color w:val="auto"/>
          <w:sz w:val="24"/>
          <w:highlight w:val="none"/>
        </w:rPr>
        <w:t>本合同履行过程中发生的任何争议，双方当事人均可通过和解或者调解解决；不愿和解、调解或者和解、调解不成的，可以向甲方所在地人民法院提起诉讼。</w:t>
      </w:r>
    </w:p>
    <w:p w14:paraId="186A199C">
      <w:pPr>
        <w:spacing w:line="520" w:lineRule="exact"/>
        <w:ind w:firstLine="480" w:firstLineChars="200"/>
        <w:rPr>
          <w:rFonts w:hint="default"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2、</w:t>
      </w:r>
      <w:r>
        <w:rPr>
          <w:rFonts w:hint="default" w:ascii="方正仿宋_GB2312" w:hAnsi="方正仿宋_GB2312" w:eastAsia="方正仿宋_GB2312" w:cs="方正仿宋_GB2312"/>
          <w:color w:val="auto"/>
          <w:sz w:val="24"/>
          <w:highlight w:val="none"/>
        </w:rPr>
        <w:t>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12B5B0D2">
      <w:pPr>
        <w:spacing w:line="520" w:lineRule="exact"/>
        <w:ind w:firstLine="482" w:firstLineChars="200"/>
        <w:rPr>
          <w:rFonts w:hint="default"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十、</w:t>
      </w:r>
      <w:r>
        <w:rPr>
          <w:rFonts w:hint="default" w:ascii="方正仿宋_GB2312" w:hAnsi="方正仿宋_GB2312" w:eastAsia="方正仿宋_GB2312" w:cs="方正仿宋_GB2312"/>
          <w:b/>
          <w:bCs/>
          <w:color w:val="auto"/>
          <w:sz w:val="24"/>
          <w:highlight w:val="none"/>
        </w:rPr>
        <w:t>不可抗力</w:t>
      </w:r>
    </w:p>
    <w:p w14:paraId="7D7F3EAE">
      <w:pPr>
        <w:spacing w:line="520" w:lineRule="exact"/>
        <w:ind w:firstLine="480" w:firstLineChars="200"/>
        <w:rPr>
          <w:color w:val="auto"/>
          <w:highlight w:val="none"/>
        </w:rPr>
      </w:pPr>
      <w:r>
        <w:rPr>
          <w:rFonts w:hint="default" w:ascii="方正仿宋_GB2312" w:hAnsi="方正仿宋_GB2312" w:eastAsia="方正仿宋_GB2312" w:cs="方正仿宋_GB2312"/>
          <w:color w:val="auto"/>
          <w:sz w:val="24"/>
          <w:highlight w:val="none"/>
        </w:rPr>
        <w:t>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p>
    <w:p w14:paraId="5B01A4EC">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十一</w:t>
      </w:r>
      <w:r>
        <w:rPr>
          <w:rFonts w:hint="eastAsia" w:ascii="方正仿宋_GB2312" w:hAnsi="方正仿宋_GB2312" w:eastAsia="方正仿宋_GB2312" w:cs="方正仿宋_GB2312"/>
          <w:b/>
          <w:color w:val="auto"/>
          <w:sz w:val="24"/>
          <w:highlight w:val="none"/>
        </w:rPr>
        <w:t>、合同的组成部分</w:t>
      </w:r>
    </w:p>
    <w:p w14:paraId="0990FC1E">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本合同专用条款、中标通知书、</w:t>
      </w:r>
      <w:r>
        <w:rPr>
          <w:rFonts w:hint="eastAsia" w:ascii="方正仿宋_GB2312" w:hAnsi="方正仿宋_GB2312" w:eastAsia="方正仿宋_GB2312" w:cs="方正仿宋_GB2312"/>
          <w:color w:val="auto"/>
          <w:sz w:val="24"/>
          <w:highlight w:val="none"/>
          <w:lang w:val="en-US" w:eastAsia="zh-CN"/>
        </w:rPr>
        <w:t>采购</w:t>
      </w:r>
      <w:r>
        <w:rPr>
          <w:rFonts w:hint="eastAsia" w:ascii="方正仿宋_GB2312" w:hAnsi="方正仿宋_GB2312" w:eastAsia="方正仿宋_GB2312" w:cs="方正仿宋_GB2312"/>
          <w:color w:val="auto"/>
          <w:sz w:val="24"/>
          <w:highlight w:val="none"/>
        </w:rPr>
        <w:t>文件、</w:t>
      </w:r>
      <w:r>
        <w:rPr>
          <w:rFonts w:hint="eastAsia" w:ascii="方正仿宋_GB2312" w:hAnsi="方正仿宋_GB2312" w:eastAsia="方正仿宋_GB2312" w:cs="方正仿宋_GB2312"/>
          <w:color w:val="auto"/>
          <w:sz w:val="24"/>
          <w:highlight w:val="none"/>
          <w:lang w:val="en-US" w:eastAsia="zh-CN"/>
        </w:rPr>
        <w:t>响应</w:t>
      </w:r>
      <w:r>
        <w:rPr>
          <w:rFonts w:hint="eastAsia" w:ascii="方正仿宋_GB2312" w:hAnsi="方正仿宋_GB2312" w:eastAsia="方正仿宋_GB2312" w:cs="方正仿宋_GB2312"/>
          <w:color w:val="auto"/>
          <w:sz w:val="24"/>
          <w:highlight w:val="none"/>
        </w:rPr>
        <w:t>文件及</w:t>
      </w:r>
      <w:r>
        <w:rPr>
          <w:rFonts w:hint="eastAsia" w:ascii="方正仿宋_GB2312" w:hAnsi="方正仿宋_GB2312" w:eastAsia="方正仿宋_GB2312" w:cs="方正仿宋_GB2312"/>
          <w:color w:val="auto"/>
          <w:sz w:val="24"/>
          <w:highlight w:val="none"/>
          <w:lang w:val="en-US" w:eastAsia="zh-CN"/>
        </w:rPr>
        <w:t>乙方</w:t>
      </w:r>
      <w:r>
        <w:rPr>
          <w:rFonts w:hint="eastAsia" w:ascii="方正仿宋_GB2312" w:hAnsi="方正仿宋_GB2312" w:eastAsia="方正仿宋_GB2312" w:cs="方正仿宋_GB2312"/>
          <w:color w:val="auto"/>
          <w:sz w:val="24"/>
          <w:highlight w:val="none"/>
        </w:rPr>
        <w:t>在开标时的书面承诺等构成合同的组成部分。</w:t>
      </w:r>
    </w:p>
    <w:p w14:paraId="055FCD70">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二</w:t>
      </w:r>
      <w:r>
        <w:rPr>
          <w:rFonts w:hint="eastAsia" w:ascii="方正仿宋_GB2312" w:hAnsi="方正仿宋_GB2312" w:eastAsia="方正仿宋_GB2312" w:cs="方正仿宋_GB2312"/>
          <w:b/>
          <w:color w:val="auto"/>
          <w:sz w:val="24"/>
          <w:highlight w:val="none"/>
        </w:rPr>
        <w:t>、合同生效及审核</w:t>
      </w:r>
    </w:p>
    <w:p w14:paraId="09B7E1B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本合同经甲方、乙方签字盖章后生效后实施，合同签订的内容不能超出</w:t>
      </w:r>
      <w:r>
        <w:rPr>
          <w:rFonts w:hint="eastAsia" w:ascii="方正仿宋_GB2312" w:hAnsi="方正仿宋_GB2312" w:eastAsia="方正仿宋_GB2312" w:cs="方正仿宋_GB2312"/>
          <w:color w:val="auto"/>
          <w:sz w:val="24"/>
          <w:highlight w:val="none"/>
          <w:lang w:val="en-US" w:eastAsia="zh-CN"/>
        </w:rPr>
        <w:t>采购</w:t>
      </w:r>
      <w:r>
        <w:rPr>
          <w:rFonts w:hint="eastAsia" w:ascii="方正仿宋_GB2312" w:hAnsi="方正仿宋_GB2312" w:eastAsia="方正仿宋_GB2312" w:cs="方正仿宋_GB2312"/>
          <w:color w:val="auto"/>
          <w:sz w:val="24"/>
          <w:highlight w:val="none"/>
        </w:rPr>
        <w:t>文件和</w:t>
      </w:r>
      <w:r>
        <w:rPr>
          <w:rFonts w:hint="eastAsia" w:ascii="方正仿宋_GB2312" w:hAnsi="方正仿宋_GB2312" w:eastAsia="方正仿宋_GB2312" w:cs="方正仿宋_GB2312"/>
          <w:color w:val="auto"/>
          <w:sz w:val="24"/>
          <w:highlight w:val="none"/>
          <w:lang w:val="en-US" w:eastAsia="zh-CN"/>
        </w:rPr>
        <w:t>响应</w:t>
      </w:r>
      <w:r>
        <w:rPr>
          <w:rFonts w:hint="eastAsia" w:ascii="方正仿宋_GB2312" w:hAnsi="方正仿宋_GB2312" w:eastAsia="方正仿宋_GB2312" w:cs="方正仿宋_GB2312"/>
          <w:color w:val="auto"/>
          <w:sz w:val="24"/>
          <w:highlight w:val="none"/>
        </w:rPr>
        <w:t xml:space="preserve">文件的实质性内容。 </w:t>
      </w:r>
    </w:p>
    <w:p w14:paraId="0DFC5A2A">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三</w:t>
      </w:r>
      <w:r>
        <w:rPr>
          <w:rFonts w:hint="eastAsia" w:ascii="方正仿宋_GB2312" w:hAnsi="方正仿宋_GB2312" w:eastAsia="方正仿宋_GB2312" w:cs="方正仿宋_GB2312"/>
          <w:b/>
          <w:color w:val="auto"/>
          <w:sz w:val="24"/>
          <w:highlight w:val="none"/>
        </w:rPr>
        <w:t>、合同份数</w:t>
      </w:r>
    </w:p>
    <w:p w14:paraId="050530D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本合同一式四份，以中文书写，</w:t>
      </w:r>
      <w:r>
        <w:rPr>
          <w:rFonts w:hint="eastAsia" w:ascii="方正仿宋_GB2312" w:hAnsi="方正仿宋_GB2312" w:eastAsia="方正仿宋_GB2312" w:cs="方正仿宋_GB2312"/>
          <w:color w:val="auto"/>
          <w:sz w:val="24"/>
          <w:highlight w:val="none"/>
          <w:lang w:val="en-US" w:eastAsia="zh-CN"/>
        </w:rPr>
        <w:t>甲方、</w:t>
      </w:r>
      <w:r>
        <w:rPr>
          <w:rFonts w:hint="eastAsia" w:ascii="方正仿宋_GB2312" w:hAnsi="方正仿宋_GB2312" w:eastAsia="方正仿宋_GB2312" w:cs="方正仿宋_GB2312"/>
          <w:color w:val="auto"/>
          <w:sz w:val="24"/>
          <w:highlight w:val="none"/>
        </w:rPr>
        <w:t>乙</w:t>
      </w:r>
      <w:r>
        <w:rPr>
          <w:rFonts w:hint="eastAsia" w:ascii="方正仿宋_GB2312" w:hAnsi="方正仿宋_GB2312" w:eastAsia="方正仿宋_GB2312" w:cs="方正仿宋_GB2312"/>
          <w:color w:val="auto"/>
          <w:sz w:val="24"/>
          <w:highlight w:val="none"/>
          <w:lang w:val="en-US" w:eastAsia="zh-CN"/>
        </w:rPr>
        <w:t>方、代理机构</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lang w:val="en-US" w:eastAsia="zh-CN"/>
        </w:rPr>
        <w:t>采购监管部门</w:t>
      </w:r>
      <w:r>
        <w:rPr>
          <w:rFonts w:hint="eastAsia" w:ascii="方正仿宋_GB2312" w:hAnsi="方正仿宋_GB2312" w:eastAsia="方正仿宋_GB2312" w:cs="方正仿宋_GB2312"/>
          <w:color w:val="auto"/>
          <w:sz w:val="24"/>
          <w:highlight w:val="none"/>
        </w:rPr>
        <w:t>各一份。</w:t>
      </w:r>
    </w:p>
    <w:p w14:paraId="72FA282B">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四</w:t>
      </w:r>
      <w:r>
        <w:rPr>
          <w:rFonts w:hint="eastAsia" w:ascii="方正仿宋_GB2312" w:hAnsi="方正仿宋_GB2312" w:eastAsia="方正仿宋_GB2312" w:cs="方正仿宋_GB2312"/>
          <w:b/>
          <w:color w:val="auto"/>
          <w:sz w:val="24"/>
          <w:highlight w:val="none"/>
        </w:rPr>
        <w:t>、其他</w:t>
      </w:r>
    </w:p>
    <w:p w14:paraId="2DCCA2F4">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本合同一切未尽事宜，按</w:t>
      </w:r>
      <w:r>
        <w:rPr>
          <w:rFonts w:hint="eastAsia" w:ascii="方正仿宋_GB2312" w:hAnsi="方正仿宋_GB2312" w:eastAsia="方正仿宋_GB2312" w:cs="方正仿宋_GB2312"/>
          <w:color w:val="auto"/>
          <w:sz w:val="24"/>
          <w:highlight w:val="none"/>
          <w:lang w:eastAsia="zh-CN"/>
        </w:rPr>
        <w:t>《中华人民共和国民法典》</w:t>
      </w:r>
      <w:r>
        <w:rPr>
          <w:rFonts w:hint="eastAsia" w:ascii="方正仿宋_GB2312" w:hAnsi="方正仿宋_GB2312" w:eastAsia="方正仿宋_GB2312" w:cs="方正仿宋_GB2312"/>
          <w:color w:val="auto"/>
          <w:sz w:val="24"/>
          <w:highlight w:val="none"/>
        </w:rPr>
        <w:t>有关规定执行，无相关规定的，由甲乙双方协商解决。</w:t>
      </w:r>
    </w:p>
    <w:p w14:paraId="73E5F76D">
      <w:pPr>
        <w:widowControl/>
        <w:snapToGrid w:val="0"/>
        <w:spacing w:before="19" w:line="520" w:lineRule="exact"/>
        <w:jc w:val="center"/>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通用条款</w:t>
      </w:r>
    </w:p>
    <w:p w14:paraId="7C3C31A2">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五</w:t>
      </w:r>
      <w:r>
        <w:rPr>
          <w:rFonts w:hint="eastAsia" w:ascii="方正仿宋_GB2312" w:hAnsi="方正仿宋_GB2312" w:eastAsia="方正仿宋_GB2312" w:cs="方正仿宋_GB2312"/>
          <w:b/>
          <w:color w:val="auto"/>
          <w:sz w:val="24"/>
          <w:highlight w:val="none"/>
        </w:rPr>
        <w:t>、词语</w:t>
      </w:r>
      <w:r>
        <w:rPr>
          <w:rFonts w:hint="eastAsia" w:ascii="方正仿宋_GB2312" w:hAnsi="方正仿宋_GB2312" w:eastAsia="方正仿宋_GB2312" w:cs="方正仿宋_GB2312"/>
          <w:b/>
          <w:color w:val="auto"/>
          <w:sz w:val="24"/>
          <w:highlight w:val="none"/>
          <w:lang w:eastAsia="zh-CN"/>
        </w:rPr>
        <w:t>含义</w:t>
      </w:r>
    </w:p>
    <w:p w14:paraId="21FE8ECC">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（一）合同：甲乙双方签署的、合同格式中载明的甲方与乙方所达成的协议，包括所有的附件、附录和构成合同的所有文件。</w:t>
      </w:r>
    </w:p>
    <w:p w14:paraId="43879A28">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（二）合同价：根据合同规定，乙方在正确地完全履行合同义务后甲方应支付给乙方的价格。</w:t>
      </w:r>
    </w:p>
    <w:p w14:paraId="113553B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（三）货物：乙方根据合同规定须向买方提供的一切设备、机械、仪表、备件、工具、手册和其他技术资料及其他材料。</w:t>
      </w:r>
    </w:p>
    <w:p w14:paraId="7A4351AC">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（四）服务：根据合同规定甲方承担与供货有关的辅助服务，如运输、保险以及</w:t>
      </w:r>
      <w:r>
        <w:rPr>
          <w:rFonts w:hint="eastAsia" w:ascii="方正仿宋_GB2312" w:hAnsi="方正仿宋_GB2312" w:eastAsia="方正仿宋_GB2312" w:cs="方正仿宋_GB2312"/>
          <w:color w:val="auto"/>
          <w:sz w:val="24"/>
          <w:highlight w:val="none"/>
          <w:lang w:eastAsia="zh-CN"/>
        </w:rPr>
        <w:t>其他</w:t>
      </w:r>
      <w:r>
        <w:rPr>
          <w:rFonts w:hint="eastAsia" w:ascii="方正仿宋_GB2312" w:hAnsi="方正仿宋_GB2312" w:eastAsia="方正仿宋_GB2312" w:cs="方正仿宋_GB2312"/>
          <w:color w:val="auto"/>
          <w:sz w:val="24"/>
          <w:highlight w:val="none"/>
        </w:rPr>
        <w:t>的伴随服务，比如安装、调试、提供技术援助、培训和其他类似的乙方应承担的义务。</w:t>
      </w:r>
    </w:p>
    <w:p w14:paraId="14246A53">
      <w:pPr>
        <w:widowControl/>
        <w:snapToGrid w:val="0"/>
        <w:spacing w:before="19"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（五）甲方：采购单位，即</w:t>
      </w:r>
      <w:r>
        <w:rPr>
          <w:rFonts w:hint="eastAsia" w:ascii="方正仿宋_GB2312" w:hAnsi="方正仿宋_GB2312" w:eastAsia="方正仿宋_GB2312" w:cs="方正仿宋_GB2312"/>
          <w:color w:val="auto"/>
          <w:sz w:val="24"/>
          <w:highlight w:val="none"/>
          <w:u w:val="single"/>
          <w:lang w:eastAsia="zh-CN"/>
        </w:rPr>
        <w:t>宿迁市疾病预防控制中心</w:t>
      </w:r>
      <w:r>
        <w:rPr>
          <w:rFonts w:hint="eastAsia" w:ascii="方正仿宋_GB2312" w:hAnsi="方正仿宋_GB2312" w:eastAsia="方正仿宋_GB2312" w:cs="方正仿宋_GB2312"/>
          <w:color w:val="auto"/>
          <w:sz w:val="24"/>
          <w:highlight w:val="none"/>
        </w:rPr>
        <w:t>。</w:t>
      </w:r>
    </w:p>
    <w:p w14:paraId="0235DC7D">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（六）乙方：提供货物和服务的公司或实体，即</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u w:val="single"/>
          <w:lang w:val="en-US" w:eastAsia="zh-CN"/>
        </w:rPr>
        <w:t xml:space="preserve">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w:t>
      </w:r>
    </w:p>
    <w:p w14:paraId="3FFD0F26">
      <w:pPr>
        <w:snapToGrid w:val="0"/>
        <w:spacing w:line="520" w:lineRule="exact"/>
        <w:ind w:firstLine="480" w:firstLineChars="200"/>
        <w:rPr>
          <w:rFonts w:hint="eastAsia" w:ascii="方正仿宋_GB2312" w:hAnsi="方正仿宋_GB2312" w:eastAsia="方正仿宋_GB2312" w:cs="方正仿宋_GB2312"/>
          <w:color w:val="auto"/>
          <w:kern w:val="0"/>
          <w:sz w:val="24"/>
          <w:highlight w:val="none"/>
        </w:rPr>
      </w:pPr>
      <w:r>
        <w:rPr>
          <w:rFonts w:hint="eastAsia" w:ascii="方正仿宋_GB2312" w:hAnsi="方正仿宋_GB2312" w:eastAsia="方正仿宋_GB2312" w:cs="方正仿宋_GB2312"/>
          <w:color w:val="auto"/>
          <w:sz w:val="24"/>
          <w:highlight w:val="none"/>
        </w:rPr>
        <w:t>（七）不可抗力：指</w:t>
      </w:r>
      <w:r>
        <w:rPr>
          <w:rFonts w:hint="eastAsia" w:ascii="方正仿宋_GB2312" w:hAnsi="方正仿宋_GB2312" w:eastAsia="方正仿宋_GB2312" w:cs="方正仿宋_GB2312"/>
          <w:color w:val="auto"/>
          <w:spacing w:val="8"/>
          <w:sz w:val="24"/>
          <w:szCs w:val="21"/>
          <w:highlight w:val="none"/>
        </w:rPr>
        <w:t>不能预见、不能避免和不能克服的客观情况，</w:t>
      </w:r>
      <w:r>
        <w:rPr>
          <w:rFonts w:hint="eastAsia" w:ascii="方正仿宋_GB2312" w:hAnsi="方正仿宋_GB2312" w:eastAsia="方正仿宋_GB2312" w:cs="方正仿宋_GB2312"/>
          <w:color w:val="auto"/>
          <w:kern w:val="0"/>
          <w:sz w:val="24"/>
          <w:highlight w:val="none"/>
        </w:rPr>
        <w:t>如战争、动乱、空中飞行物体坠落或</w:t>
      </w:r>
      <w:r>
        <w:rPr>
          <w:rFonts w:hint="eastAsia" w:ascii="方正仿宋_GB2312" w:hAnsi="方正仿宋_GB2312" w:eastAsia="方正仿宋_GB2312" w:cs="方正仿宋_GB2312"/>
          <w:color w:val="auto"/>
          <w:kern w:val="0"/>
          <w:sz w:val="24"/>
          <w:highlight w:val="none"/>
          <w:lang w:eastAsia="zh-CN"/>
        </w:rPr>
        <w:t>其他</w:t>
      </w:r>
      <w:r>
        <w:rPr>
          <w:rFonts w:hint="eastAsia" w:ascii="方正仿宋_GB2312" w:hAnsi="方正仿宋_GB2312" w:eastAsia="方正仿宋_GB2312" w:cs="方正仿宋_GB2312"/>
          <w:color w:val="auto"/>
          <w:kern w:val="0"/>
          <w:sz w:val="24"/>
          <w:highlight w:val="none"/>
        </w:rPr>
        <w:t>非甲乙方责任造成的爆炸、火灾，以及协议条款约定等级以上的风、雨、雪、地震等。</w:t>
      </w:r>
    </w:p>
    <w:p w14:paraId="1279C065">
      <w:pPr>
        <w:spacing w:line="520" w:lineRule="exact"/>
        <w:ind w:firstLine="482" w:firstLineChars="20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十</w:t>
      </w:r>
      <w:r>
        <w:rPr>
          <w:rFonts w:hint="eastAsia" w:ascii="方正仿宋_GB2312" w:hAnsi="方正仿宋_GB2312" w:eastAsia="方正仿宋_GB2312" w:cs="方正仿宋_GB2312"/>
          <w:b/>
          <w:bCs/>
          <w:color w:val="auto"/>
          <w:sz w:val="24"/>
          <w:highlight w:val="none"/>
          <w:lang w:val="en-US" w:eastAsia="zh-CN"/>
        </w:rPr>
        <w:t>六</w:t>
      </w:r>
      <w:r>
        <w:rPr>
          <w:rFonts w:hint="eastAsia" w:ascii="方正仿宋_GB2312" w:hAnsi="方正仿宋_GB2312" w:eastAsia="方正仿宋_GB2312" w:cs="方正仿宋_GB2312"/>
          <w:b/>
          <w:bCs/>
          <w:color w:val="auto"/>
          <w:sz w:val="24"/>
          <w:highlight w:val="none"/>
        </w:rPr>
        <w:t>、技术规格</w:t>
      </w:r>
    </w:p>
    <w:p w14:paraId="2835A24C">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乙方所提供货物的技术规格应与</w:t>
      </w:r>
      <w:r>
        <w:rPr>
          <w:rFonts w:hint="eastAsia" w:ascii="方正仿宋_GB2312" w:hAnsi="方正仿宋_GB2312" w:eastAsia="方正仿宋_GB2312" w:cs="方正仿宋_GB2312"/>
          <w:color w:val="auto"/>
          <w:sz w:val="24"/>
          <w:highlight w:val="none"/>
          <w:lang w:val="en-US" w:eastAsia="zh-CN"/>
        </w:rPr>
        <w:t>采购</w:t>
      </w:r>
      <w:r>
        <w:rPr>
          <w:rFonts w:hint="eastAsia" w:ascii="方正仿宋_GB2312" w:hAnsi="方正仿宋_GB2312" w:eastAsia="方正仿宋_GB2312" w:cs="方正仿宋_GB2312"/>
          <w:color w:val="auto"/>
          <w:sz w:val="24"/>
          <w:highlight w:val="none"/>
        </w:rPr>
        <w:t>文件规定的技术规格以及所附的技术规格响应表相一致。</w:t>
      </w:r>
    </w:p>
    <w:p w14:paraId="2925D0BA">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七</w:t>
      </w:r>
      <w:r>
        <w:rPr>
          <w:rFonts w:hint="eastAsia" w:ascii="方正仿宋_GB2312" w:hAnsi="方正仿宋_GB2312" w:eastAsia="方正仿宋_GB2312" w:cs="方正仿宋_GB2312"/>
          <w:b/>
          <w:color w:val="auto"/>
          <w:sz w:val="24"/>
          <w:highlight w:val="none"/>
        </w:rPr>
        <w:t>、专利权</w:t>
      </w:r>
    </w:p>
    <w:p w14:paraId="2BE875E3">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乙方应保证甲方在使用该货物或其任何一部分时不受第三方提出侵犯其专利权、商标权和工业设计权的起诉。一旦出现专利侵权，乙方应负全部责任。</w:t>
      </w:r>
    </w:p>
    <w:p w14:paraId="14829819">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八</w:t>
      </w:r>
      <w:r>
        <w:rPr>
          <w:rFonts w:hint="eastAsia" w:ascii="方正仿宋_GB2312" w:hAnsi="方正仿宋_GB2312" w:eastAsia="方正仿宋_GB2312" w:cs="方正仿宋_GB2312"/>
          <w:b/>
          <w:color w:val="auto"/>
          <w:sz w:val="24"/>
          <w:highlight w:val="none"/>
        </w:rPr>
        <w:t>、包装要求</w:t>
      </w:r>
    </w:p>
    <w:p w14:paraId="7510DF2F">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（一）除合同另有规定外，乙方提供的全部货物均按标准保护措施进行包装。该包装应</w:t>
      </w:r>
      <w:r>
        <w:rPr>
          <w:rFonts w:hint="eastAsia" w:ascii="方正仿宋_GB2312" w:hAnsi="方正仿宋_GB2312" w:eastAsia="方正仿宋_GB2312" w:cs="方正仿宋_GB2312"/>
          <w:color w:val="auto"/>
          <w:sz w:val="24"/>
          <w:highlight w:val="none"/>
          <w:lang w:eastAsia="zh-CN"/>
        </w:rPr>
        <w:t>适用</w:t>
      </w:r>
      <w:r>
        <w:rPr>
          <w:rFonts w:hint="eastAsia" w:ascii="方正仿宋_GB2312" w:hAnsi="方正仿宋_GB2312" w:eastAsia="方正仿宋_GB2312" w:cs="方正仿宋_GB2312"/>
          <w:color w:val="auto"/>
          <w:sz w:val="24"/>
          <w:highlight w:val="none"/>
        </w:rPr>
        <w:t>于远距离运输、防潮、防震、防锈和防野蛮装卸，以确保货物安全无损运抵指定现场。由于包装不善所引起的货物锈蚀、损坏和损失均由卖方承担。</w:t>
      </w:r>
    </w:p>
    <w:p w14:paraId="57C8A54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（二）每件包装箱内应附一份详细装箱单和质量合格标识。</w:t>
      </w:r>
    </w:p>
    <w:p w14:paraId="2ACA1C15">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十</w:t>
      </w:r>
      <w:r>
        <w:rPr>
          <w:rFonts w:hint="eastAsia" w:ascii="方正仿宋_GB2312" w:hAnsi="方正仿宋_GB2312" w:eastAsia="方正仿宋_GB2312" w:cs="方正仿宋_GB2312"/>
          <w:b/>
          <w:color w:val="auto"/>
          <w:sz w:val="24"/>
          <w:highlight w:val="none"/>
          <w:lang w:val="en-US" w:eastAsia="zh-CN"/>
        </w:rPr>
        <w:t>九</w:t>
      </w:r>
      <w:r>
        <w:rPr>
          <w:rFonts w:hint="eastAsia" w:ascii="方正仿宋_GB2312" w:hAnsi="方正仿宋_GB2312" w:eastAsia="方正仿宋_GB2312" w:cs="方正仿宋_GB2312"/>
          <w:b/>
          <w:color w:val="auto"/>
          <w:sz w:val="24"/>
          <w:highlight w:val="none"/>
        </w:rPr>
        <w:t>、装运条件</w:t>
      </w:r>
    </w:p>
    <w:p w14:paraId="559D6A65">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根据</w:t>
      </w:r>
      <w:r>
        <w:rPr>
          <w:rFonts w:hint="eastAsia" w:ascii="方正仿宋_GB2312" w:hAnsi="方正仿宋_GB2312" w:eastAsia="方正仿宋_GB2312" w:cs="方正仿宋_GB2312"/>
          <w:color w:val="auto"/>
          <w:sz w:val="24"/>
          <w:highlight w:val="none"/>
          <w:lang w:val="en-US" w:eastAsia="zh-CN"/>
        </w:rPr>
        <w:t>甲方</w:t>
      </w:r>
      <w:r>
        <w:rPr>
          <w:rFonts w:hint="eastAsia" w:ascii="方正仿宋_GB2312" w:hAnsi="方正仿宋_GB2312" w:eastAsia="方正仿宋_GB2312" w:cs="方正仿宋_GB2312"/>
          <w:color w:val="auto"/>
          <w:sz w:val="24"/>
          <w:highlight w:val="none"/>
        </w:rPr>
        <w:t>指定地点，乙方负责安排运输，并承担运费。</w:t>
      </w:r>
    </w:p>
    <w:p w14:paraId="5FD852B1">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二十</w:t>
      </w:r>
      <w:r>
        <w:rPr>
          <w:rFonts w:hint="eastAsia" w:ascii="方正仿宋_GB2312" w:hAnsi="方正仿宋_GB2312" w:eastAsia="方正仿宋_GB2312" w:cs="方正仿宋_GB2312"/>
          <w:b/>
          <w:color w:val="auto"/>
          <w:sz w:val="24"/>
          <w:highlight w:val="none"/>
        </w:rPr>
        <w:t>、付款</w:t>
      </w:r>
    </w:p>
    <w:p w14:paraId="31036E18">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（一）本合同以人民币付款。</w:t>
      </w:r>
    </w:p>
    <w:p w14:paraId="29CB3FD9">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（二）乙方应按照与甲方签订的合同规定交货。交货后乙方向甲方提供下列单据，按合同规定审核后付款：</w:t>
      </w:r>
    </w:p>
    <w:p w14:paraId="2170068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发票；</w:t>
      </w:r>
    </w:p>
    <w:p w14:paraId="4E8886E5">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2.</w:t>
      </w:r>
      <w:r>
        <w:rPr>
          <w:rFonts w:hint="eastAsia" w:ascii="方正仿宋_GB2312" w:hAnsi="方正仿宋_GB2312" w:eastAsia="方正仿宋_GB2312" w:cs="方正仿宋_GB2312"/>
          <w:color w:val="auto"/>
          <w:sz w:val="24"/>
          <w:highlight w:val="none"/>
        </w:rPr>
        <w:t>验收合格</w:t>
      </w:r>
      <w:r>
        <w:rPr>
          <w:rFonts w:hint="eastAsia" w:ascii="方正仿宋_GB2312" w:hAnsi="方正仿宋_GB2312" w:eastAsia="方正仿宋_GB2312" w:cs="方正仿宋_GB2312"/>
          <w:color w:val="auto"/>
          <w:sz w:val="24"/>
          <w:highlight w:val="none"/>
          <w:lang w:val="en-US" w:eastAsia="zh-CN"/>
        </w:rPr>
        <w:t>报告。</w:t>
      </w:r>
    </w:p>
    <w:p w14:paraId="765A1420">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二十一</w:t>
      </w:r>
      <w:r>
        <w:rPr>
          <w:rFonts w:hint="eastAsia" w:ascii="方正仿宋_GB2312" w:hAnsi="方正仿宋_GB2312" w:eastAsia="方正仿宋_GB2312" w:cs="方正仿宋_GB2312"/>
          <w:b/>
          <w:color w:val="auto"/>
          <w:sz w:val="24"/>
          <w:highlight w:val="none"/>
        </w:rPr>
        <w:t>、质量保证</w:t>
      </w:r>
    </w:p>
    <w:p w14:paraId="0CAF952F">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（一）乙方所提供的产品必须符合最新的国家标准和行业标准。</w:t>
      </w:r>
    </w:p>
    <w:p w14:paraId="26860CC3">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p>
    <w:p w14:paraId="3C2EA14B">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二</w:t>
      </w:r>
      <w:r>
        <w:rPr>
          <w:rFonts w:hint="eastAsia" w:ascii="方正仿宋_GB2312" w:hAnsi="方正仿宋_GB2312" w:eastAsia="方正仿宋_GB2312" w:cs="方正仿宋_GB2312"/>
          <w:b/>
          <w:color w:val="auto"/>
          <w:sz w:val="24"/>
          <w:highlight w:val="none"/>
        </w:rPr>
        <w:t>、检验</w:t>
      </w:r>
    </w:p>
    <w:p w14:paraId="1B6AD0E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355A8655">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（二）甲方在乙方交货后及时组织验收，如果货物的质量和规格与合同规定相符，甲方应及时填写验收表，加盖公章后报</w:t>
      </w:r>
      <w:r>
        <w:rPr>
          <w:rFonts w:hint="eastAsia" w:ascii="方正仿宋_GB2312" w:hAnsi="方正仿宋_GB2312" w:eastAsia="方正仿宋_GB2312" w:cs="方正仿宋_GB2312"/>
          <w:color w:val="auto"/>
          <w:sz w:val="24"/>
          <w:highlight w:val="none"/>
          <w:lang w:val="en-US" w:eastAsia="zh-CN"/>
        </w:rPr>
        <w:t>采购监管部门</w:t>
      </w:r>
      <w:r>
        <w:rPr>
          <w:rFonts w:hint="eastAsia" w:ascii="方正仿宋_GB2312" w:hAnsi="方正仿宋_GB2312" w:eastAsia="方正仿宋_GB2312" w:cs="方正仿宋_GB2312"/>
          <w:color w:val="auto"/>
          <w:sz w:val="24"/>
          <w:highlight w:val="none"/>
        </w:rPr>
        <w:t>；如果货物的质量、规格与合同规定不符，或在质量保证期内发现货物是有缺陷的（包括潜在缺陷或使用不符合要求的材料），甲方应报请法定检验机构进行检查，有权凭其出具的检验报告向乙方提出索赔，检验报告送</w:t>
      </w:r>
      <w:r>
        <w:rPr>
          <w:rFonts w:hint="eastAsia" w:ascii="方正仿宋_GB2312" w:hAnsi="方正仿宋_GB2312" w:eastAsia="方正仿宋_GB2312" w:cs="方正仿宋_GB2312"/>
          <w:color w:val="auto"/>
          <w:sz w:val="24"/>
          <w:highlight w:val="none"/>
          <w:lang w:val="en-US" w:eastAsia="zh-CN"/>
        </w:rPr>
        <w:t>采购监管部门</w:t>
      </w:r>
      <w:r>
        <w:rPr>
          <w:rFonts w:hint="eastAsia" w:ascii="方正仿宋_GB2312" w:hAnsi="方正仿宋_GB2312" w:eastAsia="方正仿宋_GB2312" w:cs="方正仿宋_GB2312"/>
          <w:color w:val="auto"/>
          <w:sz w:val="24"/>
          <w:highlight w:val="none"/>
        </w:rPr>
        <w:t>备案。</w:t>
      </w:r>
    </w:p>
    <w:p w14:paraId="216A1244">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三</w:t>
      </w:r>
      <w:r>
        <w:rPr>
          <w:rFonts w:hint="eastAsia" w:ascii="方正仿宋_GB2312" w:hAnsi="方正仿宋_GB2312" w:eastAsia="方正仿宋_GB2312" w:cs="方正仿宋_GB2312"/>
          <w:b/>
          <w:color w:val="auto"/>
          <w:sz w:val="24"/>
          <w:highlight w:val="none"/>
        </w:rPr>
        <w:t>、索赔</w:t>
      </w:r>
    </w:p>
    <w:p w14:paraId="17938C11">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一）甲方有权根据法定检验机构出具的检验报告，向乙方提出索赔。根据合同规定的检验期和质量保证期内，如乙方对甲方提出的索赔和差异负有责任，乙方应按照甲方同意的下列一种或多种方式解决索赔事宜：</w:t>
      </w:r>
    </w:p>
    <w:p w14:paraId="4E21D490">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乙方同意退货，按合同中规定的货币将货款退还给甲方，并承担由此发生的一切损失和费用，包括利息、银行手续费、运费、保险费、检验费、仓储费、装卸费以及为保护退回货物所需的</w:t>
      </w:r>
      <w:r>
        <w:rPr>
          <w:rFonts w:hint="eastAsia" w:ascii="方正仿宋_GB2312" w:hAnsi="方正仿宋_GB2312" w:eastAsia="方正仿宋_GB2312" w:cs="方正仿宋_GB2312"/>
          <w:color w:val="auto"/>
          <w:sz w:val="24"/>
          <w:highlight w:val="none"/>
          <w:lang w:eastAsia="zh-CN"/>
        </w:rPr>
        <w:t>其他</w:t>
      </w:r>
      <w:r>
        <w:rPr>
          <w:rFonts w:hint="eastAsia" w:ascii="方正仿宋_GB2312" w:hAnsi="方正仿宋_GB2312" w:eastAsia="方正仿宋_GB2312" w:cs="方正仿宋_GB2312"/>
          <w:color w:val="auto"/>
          <w:sz w:val="24"/>
          <w:highlight w:val="none"/>
        </w:rPr>
        <w:t>必要费用。</w:t>
      </w:r>
    </w:p>
    <w:p w14:paraId="6E213F9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根据货物的低劣程度、损坏程度以及买方所遭损失的数额，乙方须降低货物的价格。</w:t>
      </w:r>
    </w:p>
    <w:p w14:paraId="3252E44B">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olor w:val="auto"/>
          <w:sz w:val="24"/>
          <w:highlight w:val="none"/>
        </w:rPr>
        <w:t>用符合合同规定的规格、质量和性能要求的新零件、部件或设备来更换和或修补有缺陷的部分，乙方应承担一切费用和风险并负担甲方所蒙受的全部直接损失费用。同时应按</w:t>
      </w:r>
      <w:r>
        <w:rPr>
          <w:rFonts w:hint="eastAsia" w:ascii="方正仿宋_GB2312" w:hAnsi="方正仿宋_GB2312" w:eastAsia="方正仿宋_GB2312" w:cs="方正仿宋_GB2312"/>
          <w:color w:val="auto"/>
          <w:sz w:val="24"/>
          <w:highlight w:val="none"/>
          <w:lang w:eastAsia="zh-CN"/>
        </w:rPr>
        <w:t>合同规定</w:t>
      </w:r>
      <w:r>
        <w:rPr>
          <w:rFonts w:hint="eastAsia" w:ascii="方正仿宋_GB2312" w:hAnsi="方正仿宋_GB2312" w:eastAsia="方正仿宋_GB2312" w:cs="方正仿宋_GB2312"/>
          <w:color w:val="auto"/>
          <w:sz w:val="24"/>
          <w:highlight w:val="none"/>
        </w:rPr>
        <w:t>更换和修补件，相应延长质量保证期。</w:t>
      </w:r>
    </w:p>
    <w:p w14:paraId="34E4DB00">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（二）在甲方发出索赔通知后20天内，如乙方未作答复，上述索赔应视为已被接受，按照本合同规定的任何一种方法解决索赔事宜，甲方将采用法律手段解决索赔事宜。</w:t>
      </w:r>
    </w:p>
    <w:p w14:paraId="0AD9C744">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四</w:t>
      </w:r>
      <w:r>
        <w:rPr>
          <w:rFonts w:hint="eastAsia" w:ascii="方正仿宋_GB2312" w:hAnsi="方正仿宋_GB2312" w:eastAsia="方正仿宋_GB2312" w:cs="方正仿宋_GB2312"/>
          <w:b/>
          <w:color w:val="auto"/>
          <w:sz w:val="24"/>
          <w:highlight w:val="none"/>
        </w:rPr>
        <w:t>、误期赔偿</w:t>
      </w:r>
    </w:p>
    <w:p w14:paraId="78A3ABB1">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w:t>
      </w:r>
      <w:r>
        <w:rPr>
          <w:rFonts w:hint="eastAsia" w:ascii="方正仿宋_GB2312" w:hAnsi="方正仿宋_GB2312" w:eastAsia="方正仿宋_GB2312" w:cs="方正仿宋_GB2312"/>
          <w:color w:val="auto"/>
          <w:sz w:val="24"/>
          <w:highlight w:val="none"/>
          <w:lang w:eastAsia="zh-CN"/>
        </w:rPr>
        <w:t>限度</w:t>
      </w:r>
      <w:r>
        <w:rPr>
          <w:rFonts w:hint="eastAsia" w:ascii="方正仿宋_GB2312" w:hAnsi="方正仿宋_GB2312" w:eastAsia="方正仿宋_GB2312" w:cs="方正仿宋_GB2312"/>
          <w:color w:val="auto"/>
          <w:sz w:val="24"/>
          <w:highlight w:val="none"/>
        </w:rPr>
        <w:t>为误期货物或服务合同价的5%。一旦达到误期赔偿的最高限额，甲方可考虑终止合同。</w:t>
      </w:r>
    </w:p>
    <w:p w14:paraId="4E212659">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五</w:t>
      </w:r>
      <w:r>
        <w:rPr>
          <w:rFonts w:hint="eastAsia" w:ascii="方正仿宋_GB2312" w:hAnsi="方正仿宋_GB2312" w:eastAsia="方正仿宋_GB2312" w:cs="方正仿宋_GB2312"/>
          <w:b/>
          <w:color w:val="auto"/>
          <w:sz w:val="24"/>
          <w:highlight w:val="none"/>
        </w:rPr>
        <w:t>、不可抗力</w:t>
      </w:r>
    </w:p>
    <w:p w14:paraId="46C6ED9A">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5E957EA0">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六</w:t>
      </w:r>
      <w:r>
        <w:rPr>
          <w:rFonts w:hint="eastAsia" w:ascii="方正仿宋_GB2312" w:hAnsi="方正仿宋_GB2312" w:eastAsia="方正仿宋_GB2312" w:cs="方正仿宋_GB2312"/>
          <w:b/>
          <w:color w:val="auto"/>
          <w:sz w:val="24"/>
          <w:highlight w:val="none"/>
        </w:rPr>
        <w:t>、税费</w:t>
      </w:r>
    </w:p>
    <w:p w14:paraId="60AEF871">
      <w:pPr>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中国政府根据现行税法规定对甲方征收的与本合同有关的一切税费由甲方负担；规定对乙方征收的与本合同有关的一切税费由乙方负担。</w:t>
      </w:r>
    </w:p>
    <w:p w14:paraId="742F7ECA">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二十</w:t>
      </w:r>
      <w:r>
        <w:rPr>
          <w:rFonts w:hint="eastAsia" w:ascii="方正仿宋_GB2312" w:hAnsi="方正仿宋_GB2312" w:eastAsia="方正仿宋_GB2312" w:cs="方正仿宋_GB2312"/>
          <w:b/>
          <w:color w:val="auto"/>
          <w:sz w:val="24"/>
          <w:highlight w:val="none"/>
          <w:lang w:val="en-US" w:eastAsia="zh-CN"/>
        </w:rPr>
        <w:t>七</w:t>
      </w:r>
      <w:r>
        <w:rPr>
          <w:rFonts w:hint="eastAsia" w:ascii="方正仿宋_GB2312" w:hAnsi="方正仿宋_GB2312" w:eastAsia="方正仿宋_GB2312" w:cs="方正仿宋_GB2312"/>
          <w:b/>
          <w:color w:val="auto"/>
          <w:sz w:val="24"/>
          <w:highlight w:val="none"/>
        </w:rPr>
        <w:t>、合同争议</w:t>
      </w:r>
    </w:p>
    <w:p w14:paraId="504FA52B">
      <w:pPr>
        <w:snapToGrid w:val="0"/>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甲乙双方应通过友好协商，解决在执行本合同中所发生的或与本合同有关的一切争议。如果协商仍得不到解决，</w:t>
      </w:r>
      <w:r>
        <w:rPr>
          <w:rFonts w:hint="eastAsia" w:ascii="方正仿宋_GB2312" w:hAnsi="方正仿宋_GB2312" w:eastAsia="方正仿宋_GB2312" w:cs="方正仿宋_GB2312"/>
          <w:color w:val="auto"/>
          <w:sz w:val="24"/>
          <w:highlight w:val="none"/>
          <w:lang w:val="en-US" w:eastAsia="zh-CN"/>
        </w:rPr>
        <w:t>由甲方住所地人民法院管辖</w:t>
      </w:r>
      <w:r>
        <w:rPr>
          <w:rFonts w:hint="eastAsia" w:ascii="方正仿宋_GB2312" w:hAnsi="方正仿宋_GB2312" w:eastAsia="方正仿宋_GB2312" w:cs="方正仿宋_GB2312"/>
          <w:color w:val="auto"/>
          <w:sz w:val="24"/>
          <w:highlight w:val="none"/>
        </w:rPr>
        <w:t>。</w:t>
      </w:r>
    </w:p>
    <w:p w14:paraId="206E13A3">
      <w:pPr>
        <w:spacing w:line="520" w:lineRule="exact"/>
        <w:ind w:firstLine="482" w:firstLineChars="2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二十八</w:t>
      </w:r>
      <w:r>
        <w:rPr>
          <w:rFonts w:hint="eastAsia" w:ascii="方正仿宋_GB2312" w:hAnsi="方正仿宋_GB2312" w:eastAsia="方正仿宋_GB2312" w:cs="方正仿宋_GB2312"/>
          <w:b/>
          <w:color w:val="auto"/>
          <w:sz w:val="24"/>
          <w:highlight w:val="none"/>
        </w:rPr>
        <w:t>、适用法律</w:t>
      </w:r>
    </w:p>
    <w:p w14:paraId="7CDD57F4">
      <w:pPr>
        <w:snapToGrid w:val="0"/>
        <w:spacing w:line="52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本合同应按照中华人民共和国的现行法律、行政法规解释。</w:t>
      </w:r>
    </w:p>
    <w:p w14:paraId="0563E4DF">
      <w:pPr>
        <w:snapToGrid w:val="0"/>
        <w:spacing w:line="500" w:lineRule="exact"/>
        <w:ind w:firstLine="482" w:firstLineChars="20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二十</w:t>
      </w:r>
      <w:r>
        <w:rPr>
          <w:rFonts w:hint="eastAsia" w:ascii="方正仿宋_GB2312" w:hAnsi="方正仿宋_GB2312" w:eastAsia="方正仿宋_GB2312" w:cs="方正仿宋_GB2312"/>
          <w:b/>
          <w:bCs/>
          <w:color w:val="auto"/>
          <w:sz w:val="24"/>
          <w:szCs w:val="24"/>
          <w:highlight w:val="none"/>
          <w:lang w:val="en-US" w:eastAsia="zh-CN"/>
        </w:rPr>
        <w:t>九</w:t>
      </w:r>
      <w:r>
        <w:rPr>
          <w:rFonts w:hint="eastAsia" w:ascii="方正仿宋_GB2312" w:hAnsi="方正仿宋_GB2312" w:eastAsia="方正仿宋_GB2312" w:cs="方正仿宋_GB2312"/>
          <w:b/>
          <w:bCs/>
          <w:color w:val="auto"/>
          <w:sz w:val="24"/>
          <w:szCs w:val="24"/>
          <w:highlight w:val="none"/>
        </w:rPr>
        <w:t>、法律文书送达地址确认</w:t>
      </w:r>
    </w:p>
    <w:p w14:paraId="0C5FD723">
      <w:pPr>
        <w:snapToGrid w:val="0"/>
        <w:spacing w:line="50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p>
    <w:p w14:paraId="25974FF3">
      <w:pPr>
        <w:spacing w:line="520" w:lineRule="exact"/>
        <w:jc w:val="center"/>
        <w:rPr>
          <w:rFonts w:hint="eastAsia" w:ascii="方正仿宋_GB2312" w:hAnsi="方正仿宋_GB2312" w:eastAsia="方正仿宋_GB2312" w:cs="方正仿宋_GB2312"/>
          <w:b/>
          <w:bCs/>
          <w:color w:val="auto"/>
          <w:sz w:val="24"/>
          <w:highlight w:val="none"/>
        </w:rPr>
      </w:pPr>
    </w:p>
    <w:p w14:paraId="5A34D1BB">
      <w:pPr>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甲方：</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（盖章）        乙方：</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（盖章）             </w:t>
      </w:r>
    </w:p>
    <w:p w14:paraId="669A6110">
      <w:pPr>
        <w:widowControl/>
        <w:snapToGrid w:val="0"/>
        <w:spacing w:line="520" w:lineRule="exact"/>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04C32A21">
      <w:pPr>
        <w:widowControl/>
        <w:snapToGrid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法定（授权）代表人：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法定（授权）代表人：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1BABB9F9">
      <w:pPr>
        <w:widowControl/>
        <w:snapToGrid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联系人：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联系人：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527D85C4">
      <w:pPr>
        <w:widowControl/>
        <w:snapToGrid w:val="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联系电话：</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联系电话：</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64F94C1A">
      <w:pPr>
        <w:pStyle w:val="23"/>
        <w:spacing w:line="480" w:lineRule="exact"/>
        <w:rPr>
          <w:rFonts w:hint="eastAsia" w:ascii="方正仿宋_GB2312" w:hAnsi="方正仿宋_GB2312" w:eastAsia="方正仿宋_GB2312" w:cs="方正仿宋_GB2312"/>
          <w:b/>
          <w:bCs/>
          <w:color w:val="auto"/>
          <w:spacing w:val="-20"/>
          <w:kern w:val="44"/>
          <w:highlight w:val="none"/>
          <w:lang w:eastAsia="zh-CN"/>
        </w:rPr>
      </w:pP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年</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月</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日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年</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月</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日</w:t>
      </w:r>
    </w:p>
    <w:p w14:paraId="498FD895">
      <w:pPr>
        <w:spacing w:line="360" w:lineRule="auto"/>
        <w:rPr>
          <w:rFonts w:hint="eastAsia" w:ascii="方正仿宋_GB2312" w:hAnsi="方正仿宋_GB2312" w:eastAsia="方正仿宋_GB2312" w:cs="方正仿宋_GB2312"/>
          <w:color w:val="auto"/>
          <w:sz w:val="24"/>
          <w:szCs w:val="24"/>
          <w:highlight w:val="none"/>
        </w:rPr>
      </w:pPr>
    </w:p>
    <w:bookmarkEnd w:id="132"/>
    <w:bookmarkEnd w:id="133"/>
    <w:bookmarkEnd w:id="134"/>
    <w:p w14:paraId="73CE8510">
      <w:pPr>
        <w:keepNext/>
        <w:keepLines/>
        <w:pageBreakBefore/>
        <w:jc w:val="center"/>
        <w:outlineLvl w:val="0"/>
        <w:rPr>
          <w:rFonts w:hint="eastAsia" w:ascii="方正仿宋_GB2312" w:hAnsi="方正仿宋_GB2312" w:eastAsia="方正仿宋_GB2312" w:cs="方正仿宋_GB2312"/>
          <w:b/>
          <w:color w:val="auto"/>
          <w:sz w:val="44"/>
          <w:szCs w:val="44"/>
          <w:highlight w:val="none"/>
        </w:rPr>
      </w:pPr>
      <w:bookmarkStart w:id="135" w:name="_Toc19649"/>
      <w:bookmarkStart w:id="136" w:name="_Toc2752"/>
      <w:bookmarkStart w:id="137" w:name="_Toc81575170"/>
      <w:bookmarkStart w:id="138" w:name="_Toc81575207"/>
      <w:bookmarkStart w:id="139" w:name="_Toc22853"/>
      <w:bookmarkStart w:id="140" w:name="_Toc9003"/>
      <w:r>
        <w:rPr>
          <w:rFonts w:hint="eastAsia" w:ascii="方正仿宋_GB2312" w:hAnsi="方正仿宋_GB2312" w:eastAsia="方正仿宋_GB2312" w:cs="方正仿宋_GB2312"/>
          <w:b/>
          <w:color w:val="auto"/>
          <w:sz w:val="44"/>
          <w:szCs w:val="44"/>
          <w:highlight w:val="none"/>
        </w:rPr>
        <w:t>第六章  投标文件格式</w:t>
      </w:r>
      <w:bookmarkEnd w:id="135"/>
      <w:bookmarkEnd w:id="136"/>
      <w:bookmarkEnd w:id="137"/>
      <w:bookmarkEnd w:id="138"/>
      <w:bookmarkEnd w:id="139"/>
      <w:bookmarkEnd w:id="140"/>
    </w:p>
    <w:p w14:paraId="208943B9">
      <w:pPr>
        <w:rPr>
          <w:rFonts w:hint="eastAsia" w:ascii="方正仿宋_GB2312" w:hAnsi="方正仿宋_GB2312" w:eastAsia="方正仿宋_GB2312" w:cs="方正仿宋_GB2312"/>
          <w:color w:val="auto"/>
          <w:highlight w:val="none"/>
        </w:rPr>
      </w:pPr>
      <w:bookmarkStart w:id="141" w:name="EB819316f773b24a75aef829f9b72900c0"/>
    </w:p>
    <w:bookmarkEnd w:id="141"/>
    <w:p w14:paraId="1E194305">
      <w:pPr>
        <w:pStyle w:val="268"/>
        <w:rPr>
          <w:rFonts w:hint="eastAsia" w:ascii="方正仿宋_GB2312" w:hAnsi="方正仿宋_GB2312" w:eastAsia="方正仿宋_GB2312" w:cs="方正仿宋_GB2312"/>
          <w:color w:val="auto"/>
          <w:highlight w:val="none"/>
        </w:rPr>
      </w:pPr>
    </w:p>
    <w:p w14:paraId="178046C0">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t>投  标  文  件</w:t>
      </w:r>
    </w:p>
    <w:p w14:paraId="5207200A">
      <w:pPr>
        <w:jc w:val="center"/>
        <w:rPr>
          <w:rFonts w:hint="eastAsia" w:ascii="方正仿宋_GB2312" w:hAnsi="方正仿宋_GB2312" w:eastAsia="方正仿宋_GB2312" w:cs="方正仿宋_GB2312"/>
          <w:b/>
          <w:color w:val="auto"/>
          <w:sz w:val="72"/>
          <w:highlight w:val="none"/>
        </w:rPr>
      </w:pPr>
    </w:p>
    <w:p w14:paraId="6408E724">
      <w:pPr>
        <w:jc w:val="center"/>
        <w:rPr>
          <w:rFonts w:hint="eastAsia" w:ascii="方正仿宋_GB2312" w:hAnsi="方正仿宋_GB2312" w:eastAsia="方正仿宋_GB2312" w:cs="方正仿宋_GB2312"/>
          <w:b/>
          <w:color w:val="auto"/>
          <w:sz w:val="72"/>
          <w:highlight w:val="none"/>
        </w:rPr>
      </w:pPr>
    </w:p>
    <w:p w14:paraId="0D03DB6F">
      <w:pPr>
        <w:jc w:val="center"/>
        <w:rPr>
          <w:rFonts w:hint="eastAsia" w:ascii="方正仿宋_GB2312" w:hAnsi="方正仿宋_GB2312" w:eastAsia="方正仿宋_GB2312" w:cs="方正仿宋_GB2312"/>
          <w:b/>
          <w:color w:val="auto"/>
          <w:sz w:val="72"/>
          <w:highlight w:val="none"/>
        </w:rPr>
      </w:pPr>
    </w:p>
    <w:p w14:paraId="4532B4CC">
      <w:pPr>
        <w:jc w:val="center"/>
        <w:rPr>
          <w:rFonts w:hint="eastAsia" w:ascii="方正仿宋_GB2312" w:hAnsi="方正仿宋_GB2312" w:eastAsia="方正仿宋_GB2312" w:cs="方正仿宋_GB2312"/>
          <w:b/>
          <w:color w:val="auto"/>
          <w:sz w:val="72"/>
          <w:highlight w:val="none"/>
        </w:rPr>
      </w:pPr>
    </w:p>
    <w:p w14:paraId="5D852EA0">
      <w:pPr>
        <w:jc w:val="center"/>
        <w:rPr>
          <w:rFonts w:hint="eastAsia" w:ascii="方正仿宋_GB2312" w:hAnsi="方正仿宋_GB2312" w:eastAsia="方正仿宋_GB2312" w:cs="方正仿宋_GB2312"/>
          <w:b/>
          <w:color w:val="auto"/>
          <w:sz w:val="72"/>
          <w:highlight w:val="none"/>
        </w:rPr>
      </w:pPr>
    </w:p>
    <w:p w14:paraId="1C7117AD">
      <w:pPr>
        <w:jc w:val="center"/>
        <w:rPr>
          <w:rFonts w:hint="eastAsia" w:ascii="方正仿宋_GB2312" w:hAnsi="方正仿宋_GB2312" w:eastAsia="方正仿宋_GB2312" w:cs="方正仿宋_GB2312"/>
          <w:b/>
          <w:color w:val="auto"/>
          <w:sz w:val="36"/>
          <w:highlight w:val="none"/>
        </w:rPr>
      </w:pPr>
    </w:p>
    <w:p w14:paraId="321CF60E">
      <w:pPr>
        <w:jc w:val="center"/>
        <w:rPr>
          <w:rFonts w:hint="eastAsia" w:ascii="方正仿宋_GB2312" w:hAnsi="方正仿宋_GB2312" w:eastAsia="方正仿宋_GB2312" w:cs="方正仿宋_GB2312"/>
          <w:b/>
          <w:color w:val="auto"/>
          <w:sz w:val="36"/>
          <w:highlight w:val="none"/>
        </w:rPr>
      </w:pPr>
    </w:p>
    <w:p w14:paraId="31A60407">
      <w:pPr>
        <w:jc w:val="center"/>
        <w:rPr>
          <w:rFonts w:hint="eastAsia" w:ascii="方正仿宋_GB2312" w:hAnsi="方正仿宋_GB2312" w:eastAsia="方正仿宋_GB2312" w:cs="方正仿宋_GB2312"/>
          <w:b/>
          <w:color w:val="auto"/>
          <w:sz w:val="36"/>
          <w:highlight w:val="none"/>
        </w:rPr>
      </w:pPr>
    </w:p>
    <w:p w14:paraId="7C9C5517">
      <w:pPr>
        <w:ind w:firstLine="1084"/>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项 目 名 称：</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p>
    <w:p w14:paraId="3E9B7130">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项 目 编 号：</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p>
    <w:p w14:paraId="05896EF7">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投标人名称 ：</w:t>
      </w:r>
      <w:r>
        <w:rPr>
          <w:rFonts w:hint="eastAsia" w:ascii="方正仿宋_GB2312" w:hAnsi="方正仿宋_GB2312" w:eastAsia="方正仿宋_GB2312" w:cs="方正仿宋_GB2312"/>
          <w:b/>
          <w:color w:val="auto"/>
          <w:sz w:val="36"/>
          <w:highlight w:val="none"/>
          <w:u w:val="single"/>
        </w:rPr>
        <w:t>（盖CA电子公章）</w:t>
      </w:r>
    </w:p>
    <w:p w14:paraId="10DE050E">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p>
    <w:p w14:paraId="45D69230">
      <w:pPr>
        <w:rPr>
          <w:rFonts w:hint="eastAsia" w:ascii="方正仿宋_GB2312" w:hAnsi="方正仿宋_GB2312" w:eastAsia="方正仿宋_GB2312" w:cs="方正仿宋_GB2312"/>
          <w:color w:val="auto"/>
          <w:sz w:val="24"/>
          <w:szCs w:val="24"/>
          <w:highlight w:val="none"/>
        </w:rPr>
      </w:pPr>
    </w:p>
    <w:p w14:paraId="5CF7ADCD">
      <w:pPr>
        <w:rPr>
          <w:rFonts w:hint="eastAsia" w:ascii="方正仿宋_GB2312" w:hAnsi="方正仿宋_GB2312" w:eastAsia="方正仿宋_GB2312" w:cs="方正仿宋_GB2312"/>
          <w:color w:val="auto"/>
          <w:sz w:val="24"/>
          <w:szCs w:val="24"/>
          <w:highlight w:val="none"/>
        </w:rPr>
      </w:pPr>
    </w:p>
    <w:p w14:paraId="613DFDB6">
      <w:pPr>
        <w:rPr>
          <w:rFonts w:hint="eastAsia" w:ascii="方正仿宋_GB2312" w:hAnsi="方正仿宋_GB2312" w:eastAsia="方正仿宋_GB2312" w:cs="方正仿宋_GB2312"/>
          <w:color w:val="auto"/>
          <w:sz w:val="24"/>
          <w:szCs w:val="24"/>
          <w:highlight w:val="none"/>
        </w:rPr>
      </w:pPr>
    </w:p>
    <w:p w14:paraId="49EC1794">
      <w:pPr>
        <w:rPr>
          <w:rFonts w:hint="eastAsia" w:ascii="方正仿宋_GB2312" w:hAnsi="方正仿宋_GB2312" w:eastAsia="方正仿宋_GB2312" w:cs="方正仿宋_GB2312"/>
          <w:color w:val="auto"/>
          <w:sz w:val="24"/>
          <w:szCs w:val="24"/>
          <w:highlight w:val="none"/>
        </w:rPr>
      </w:pPr>
    </w:p>
    <w:p w14:paraId="7483FC77">
      <w:pPr>
        <w:rPr>
          <w:rFonts w:hint="eastAsia" w:ascii="方正仿宋_GB2312" w:hAnsi="方正仿宋_GB2312" w:eastAsia="方正仿宋_GB2312" w:cs="方正仿宋_GB2312"/>
          <w:color w:val="auto"/>
          <w:sz w:val="24"/>
          <w:szCs w:val="24"/>
          <w:highlight w:val="none"/>
        </w:rPr>
      </w:pPr>
    </w:p>
    <w:p w14:paraId="073629F4">
      <w:pPr>
        <w:rPr>
          <w:rFonts w:hint="eastAsia" w:ascii="方正仿宋_GB2312" w:hAnsi="方正仿宋_GB2312" w:eastAsia="方正仿宋_GB2312" w:cs="方正仿宋_GB2312"/>
          <w:color w:val="auto"/>
          <w:sz w:val="24"/>
          <w:szCs w:val="24"/>
          <w:highlight w:val="none"/>
        </w:rPr>
      </w:pPr>
    </w:p>
    <w:p w14:paraId="5E967D62">
      <w:pPr>
        <w:rPr>
          <w:rFonts w:hint="eastAsia" w:ascii="方正仿宋_GB2312" w:hAnsi="方正仿宋_GB2312" w:eastAsia="方正仿宋_GB2312" w:cs="方正仿宋_GB2312"/>
          <w:color w:val="auto"/>
          <w:sz w:val="24"/>
          <w:szCs w:val="24"/>
          <w:highlight w:val="none"/>
        </w:rPr>
      </w:pPr>
    </w:p>
    <w:p w14:paraId="46CDA267">
      <w:pPr>
        <w:spacing w:line="360" w:lineRule="auto"/>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投标文件目录</w:t>
      </w:r>
    </w:p>
    <w:p w14:paraId="512078B9">
      <w:pPr>
        <w:spacing w:line="360" w:lineRule="auto"/>
        <w:rPr>
          <w:rFonts w:hint="eastAsia" w:ascii="方正仿宋_GB2312" w:hAnsi="方正仿宋_GB2312" w:eastAsia="方正仿宋_GB2312" w:cs="方正仿宋_GB2312"/>
          <w:color w:val="auto"/>
          <w:sz w:val="28"/>
          <w:szCs w:val="28"/>
          <w:highlight w:val="none"/>
        </w:rPr>
      </w:pPr>
    </w:p>
    <w:p w14:paraId="747176C6">
      <w:pPr>
        <w:numPr>
          <w:ilvl w:val="0"/>
          <w:numId w:val="6"/>
        </w:num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投标函</w:t>
      </w:r>
    </w:p>
    <w:p w14:paraId="38458068">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二</w:t>
      </w:r>
      <w:r>
        <w:rPr>
          <w:rFonts w:hint="eastAsia" w:ascii="方正仿宋_GB2312" w:hAnsi="方正仿宋_GB2312" w:eastAsia="方正仿宋_GB2312" w:cs="方正仿宋_GB2312"/>
          <w:color w:val="auto"/>
          <w:sz w:val="28"/>
          <w:szCs w:val="28"/>
          <w:highlight w:val="none"/>
        </w:rPr>
        <w:t>、法人授权书</w:t>
      </w:r>
    </w:p>
    <w:p w14:paraId="7153AD15">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三</w:t>
      </w:r>
      <w:r>
        <w:rPr>
          <w:rFonts w:hint="eastAsia" w:ascii="方正仿宋_GB2312" w:hAnsi="方正仿宋_GB2312" w:eastAsia="方正仿宋_GB2312" w:cs="方正仿宋_GB2312"/>
          <w:color w:val="auto"/>
          <w:sz w:val="28"/>
          <w:szCs w:val="28"/>
          <w:highlight w:val="none"/>
        </w:rPr>
        <w:t>、开标一览表</w:t>
      </w:r>
    </w:p>
    <w:p w14:paraId="5E1457C9">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四</w:t>
      </w:r>
      <w:r>
        <w:rPr>
          <w:rFonts w:hint="eastAsia" w:ascii="方正仿宋_GB2312" w:hAnsi="方正仿宋_GB2312" w:eastAsia="方正仿宋_GB2312" w:cs="方正仿宋_GB2312"/>
          <w:color w:val="auto"/>
          <w:sz w:val="28"/>
          <w:szCs w:val="28"/>
          <w:highlight w:val="none"/>
        </w:rPr>
        <w:t>、分项报价表</w:t>
      </w:r>
    </w:p>
    <w:p w14:paraId="14A4950E">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五</w:t>
      </w:r>
      <w:r>
        <w:rPr>
          <w:rFonts w:hint="eastAsia" w:ascii="方正仿宋_GB2312" w:hAnsi="方正仿宋_GB2312" w:eastAsia="方正仿宋_GB2312" w:cs="方正仿宋_GB2312"/>
          <w:color w:val="auto"/>
          <w:sz w:val="28"/>
          <w:szCs w:val="28"/>
          <w:highlight w:val="none"/>
        </w:rPr>
        <w:t>、中小企业或残疾人福利性单位声明函</w:t>
      </w:r>
    </w:p>
    <w:p w14:paraId="0F5A40BB">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六</w:t>
      </w:r>
      <w:r>
        <w:rPr>
          <w:rFonts w:hint="eastAsia" w:ascii="方正仿宋_GB2312" w:hAnsi="方正仿宋_GB2312" w:eastAsia="方正仿宋_GB2312" w:cs="方正仿宋_GB2312"/>
          <w:color w:val="auto"/>
          <w:sz w:val="28"/>
          <w:szCs w:val="28"/>
          <w:highlight w:val="none"/>
        </w:rPr>
        <w:t>、技术响应偏离表</w:t>
      </w:r>
    </w:p>
    <w:p w14:paraId="62EA5BEE">
      <w:pPr>
        <w:spacing w:line="360" w:lineRule="auto"/>
        <w:rPr>
          <w:rFonts w:hint="default"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七、项目实施方案</w:t>
      </w:r>
    </w:p>
    <w:p w14:paraId="3943EF14">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八、投标人业绩</w:t>
      </w:r>
    </w:p>
    <w:p w14:paraId="2657AE96">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九、项目组人员</w:t>
      </w:r>
    </w:p>
    <w:p w14:paraId="1EB39DF1">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十、投标所需其他材料 </w:t>
      </w:r>
    </w:p>
    <w:p w14:paraId="084B2C85">
      <w:pPr>
        <w:outlineLvl w:val="1"/>
        <w:rPr>
          <w:rFonts w:hint="eastAsia" w:ascii="方正仿宋_GB2312" w:hAnsi="方正仿宋_GB2312" w:eastAsia="方正仿宋_GB2312" w:cs="方正仿宋_GB2312"/>
          <w:bCs/>
          <w:color w:val="auto"/>
          <w:sz w:val="32"/>
          <w:szCs w:val="24"/>
          <w:highlight w:val="none"/>
        </w:rPr>
      </w:pPr>
      <w:bookmarkStart w:id="142" w:name="_Toc26005"/>
      <w:bookmarkStart w:id="143" w:name="_Toc20577"/>
      <w:bookmarkStart w:id="144" w:name="_Toc8978"/>
      <w:r>
        <w:rPr>
          <w:rFonts w:hint="eastAsia" w:ascii="方正仿宋_GB2312" w:hAnsi="方正仿宋_GB2312" w:eastAsia="方正仿宋_GB2312" w:cs="方正仿宋_GB2312"/>
          <w:bCs/>
          <w:color w:val="auto"/>
          <w:sz w:val="32"/>
          <w:szCs w:val="24"/>
          <w:highlight w:val="none"/>
        </w:rPr>
        <w:br w:type="page"/>
      </w:r>
      <w:r>
        <w:rPr>
          <w:rFonts w:hint="eastAsia" w:ascii="方正仿宋_GB2312" w:hAnsi="方正仿宋_GB2312" w:eastAsia="方正仿宋_GB2312" w:cs="方正仿宋_GB2312"/>
          <w:bCs/>
          <w:color w:val="auto"/>
          <w:sz w:val="32"/>
          <w:szCs w:val="24"/>
          <w:highlight w:val="none"/>
        </w:rPr>
        <w:t>一、投标函</w:t>
      </w:r>
      <w:bookmarkEnd w:id="142"/>
      <w:bookmarkEnd w:id="143"/>
      <w:bookmarkEnd w:id="144"/>
    </w:p>
    <w:p w14:paraId="78F91A30">
      <w:pPr>
        <w:jc w:val="center"/>
        <w:rPr>
          <w:rFonts w:hint="eastAsia" w:ascii="方正仿宋_GB2312" w:hAnsi="方正仿宋_GB2312" w:eastAsia="方正仿宋_GB2312" w:cs="方正仿宋_GB2312"/>
          <w:bCs/>
          <w:color w:val="auto"/>
          <w:sz w:val="32"/>
          <w:szCs w:val="32"/>
          <w:highlight w:val="none"/>
        </w:rPr>
      </w:pPr>
    </w:p>
    <w:p w14:paraId="7877B027">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投标函</w:t>
      </w:r>
    </w:p>
    <w:p w14:paraId="41B194F5">
      <w:pPr>
        <w:spacing w:line="500" w:lineRule="exact"/>
        <w:jc w:val="lef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lang w:val="en-US" w:eastAsia="zh-CN"/>
        </w:rPr>
        <w:t>宿迁市疾病预防控制中心</w:t>
      </w:r>
      <w:r>
        <w:rPr>
          <w:rFonts w:hint="eastAsia" w:ascii="方正仿宋_GB2312" w:hAnsi="方正仿宋_GB2312" w:eastAsia="方正仿宋_GB2312" w:cs="方正仿宋_GB2312"/>
          <w:color w:val="auto"/>
          <w:sz w:val="24"/>
          <w:szCs w:val="24"/>
          <w:highlight w:val="none"/>
          <w:u w:val="single"/>
        </w:rPr>
        <w:t>：</w:t>
      </w:r>
    </w:p>
    <w:p w14:paraId="17BC7AC6">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根据已收到的项目编号为</w:t>
      </w:r>
      <w:r>
        <w:rPr>
          <w:rFonts w:hint="eastAsia" w:ascii="方正仿宋_GB2312" w:hAnsi="方正仿宋_GB2312" w:eastAsia="方正仿宋_GB2312" w:cs="方正仿宋_GB2312"/>
          <w:color w:val="auto"/>
          <w:sz w:val="24"/>
          <w:szCs w:val="24"/>
          <w:highlight w:val="none"/>
          <w:u w:val="single"/>
          <w:lang w:eastAsia="zh-CN"/>
        </w:rPr>
        <w:t>JSZC-321300-HZJS-G2026-0011</w:t>
      </w:r>
      <w:r>
        <w:rPr>
          <w:rFonts w:hint="eastAsia" w:ascii="方正仿宋_GB2312" w:hAnsi="方正仿宋_GB2312" w:eastAsia="方正仿宋_GB2312" w:cs="方正仿宋_GB2312"/>
          <w:color w:val="auto"/>
          <w:sz w:val="24"/>
          <w:szCs w:val="24"/>
          <w:highlight w:val="none"/>
        </w:rPr>
        <w:t>的</w:t>
      </w:r>
      <w:r>
        <w:rPr>
          <w:rFonts w:hint="eastAsia" w:ascii="方正仿宋_GB2312" w:hAnsi="方正仿宋_GB2312" w:eastAsia="方正仿宋_GB2312" w:cs="方正仿宋_GB2312"/>
          <w:color w:val="auto"/>
          <w:sz w:val="24"/>
          <w:szCs w:val="24"/>
          <w:highlight w:val="none"/>
          <w:u w:val="single"/>
          <w:lang w:eastAsia="zh-CN"/>
        </w:rPr>
        <w:t>三重四极杆质谱仪采购</w:t>
      </w:r>
      <w:r>
        <w:rPr>
          <w:rFonts w:hint="eastAsia" w:ascii="方正仿宋_GB2312" w:hAnsi="方正仿宋_GB2312" w:eastAsia="方正仿宋_GB2312" w:cs="方正仿宋_GB2312"/>
          <w:color w:val="auto"/>
          <w:sz w:val="24"/>
          <w:szCs w:val="24"/>
          <w:highlight w:val="none"/>
        </w:rPr>
        <w:t>的招标文件，我方在参加本项目招投标活动中，特作出如下承诺：</w:t>
      </w:r>
    </w:p>
    <w:p w14:paraId="4A86DBE3">
      <w:pPr>
        <w:spacing w:line="500" w:lineRule="exact"/>
        <w:ind w:firstLine="480"/>
        <w:jc w:val="left"/>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一、我方</w:t>
      </w:r>
      <w:r>
        <w:rPr>
          <w:rFonts w:hint="eastAsia" w:ascii="方正仿宋_GB2312" w:hAnsi="方正仿宋_GB2312" w:eastAsia="方正仿宋_GB2312" w:cs="方正仿宋_GB2312"/>
          <w:color w:val="auto"/>
          <w:sz w:val="24"/>
          <w:highlight w:val="none"/>
        </w:rPr>
        <w:t>具备《中华人民共和国政府采购法》第二十二条第一款规定的6项条件</w:t>
      </w:r>
      <w:r>
        <w:rPr>
          <w:rFonts w:hint="eastAsia" w:ascii="方正仿宋_GB2312" w:hAnsi="方正仿宋_GB2312" w:eastAsia="方正仿宋_GB2312" w:cs="方正仿宋_GB2312"/>
          <w:color w:val="auto"/>
          <w:sz w:val="24"/>
          <w:highlight w:val="none"/>
          <w:lang w:eastAsia="zh-CN"/>
        </w:rPr>
        <w:t>。</w:t>
      </w:r>
    </w:p>
    <w:p w14:paraId="2C68B468">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265C9247">
      <w:pPr>
        <w:spacing w:line="500" w:lineRule="exact"/>
        <w:ind w:firstLine="48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三、我方按招标文件要求提交投标文件，响应招标文件规定的投标有效期</w:t>
      </w:r>
      <w:r>
        <w:rPr>
          <w:rFonts w:hint="eastAsia" w:ascii="方正仿宋_GB2312" w:hAnsi="方正仿宋_GB2312" w:eastAsia="方正仿宋_GB2312" w:cs="方正仿宋_GB2312"/>
          <w:color w:val="auto"/>
          <w:sz w:val="24"/>
          <w:szCs w:val="24"/>
          <w:highlight w:val="none"/>
          <w:lang w:eastAsia="zh-CN"/>
        </w:rPr>
        <w:t>。</w:t>
      </w:r>
    </w:p>
    <w:p w14:paraId="4E7B25CD">
      <w:pPr>
        <w:spacing w:line="500" w:lineRule="exact"/>
        <w:ind w:firstLine="48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四、如果我方的投标文件被接受，我方将按《中华人民共和国民法典（第三编合同）》及其他有关法律法规的规定，按期、按质、按量交付采购单位，全面做到履约守信</w:t>
      </w:r>
      <w:r>
        <w:rPr>
          <w:rFonts w:hint="eastAsia" w:ascii="方正仿宋_GB2312" w:hAnsi="方正仿宋_GB2312" w:eastAsia="方正仿宋_GB2312" w:cs="方正仿宋_GB2312"/>
          <w:color w:val="auto"/>
          <w:sz w:val="24"/>
          <w:szCs w:val="24"/>
          <w:highlight w:val="none"/>
          <w:lang w:eastAsia="zh-CN"/>
        </w:rPr>
        <w:t>。</w:t>
      </w:r>
    </w:p>
    <w:p w14:paraId="19A0A7C5">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五、我方若违背本声明及承诺约定，经查实，自愿接受采购人及相关主管部门相应的规定处理，并依法承担相应的法律责任。</w:t>
      </w:r>
    </w:p>
    <w:p w14:paraId="15CC34F1">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六、我方同意采购人、采购代理机构将本函上网公开。</w:t>
      </w:r>
    </w:p>
    <w:p w14:paraId="62ACCBDD">
      <w:pPr>
        <w:spacing w:line="500" w:lineRule="exact"/>
        <w:ind w:firstLine="480"/>
        <w:jc w:val="left"/>
        <w:rPr>
          <w:rFonts w:hint="eastAsia" w:ascii="方正仿宋_GB2312" w:hAnsi="方正仿宋_GB2312" w:eastAsia="方正仿宋_GB2312" w:cs="方正仿宋_GB2312"/>
          <w:color w:val="auto"/>
          <w:sz w:val="24"/>
          <w:szCs w:val="24"/>
          <w:highlight w:val="none"/>
        </w:rPr>
      </w:pPr>
    </w:p>
    <w:p w14:paraId="300C19EB">
      <w:pPr>
        <w:spacing w:line="500" w:lineRule="exact"/>
        <w:jc w:val="left"/>
        <w:rPr>
          <w:rFonts w:hint="eastAsia" w:ascii="方正仿宋_GB2312" w:hAnsi="方正仿宋_GB2312" w:eastAsia="方正仿宋_GB2312" w:cs="方正仿宋_GB2312"/>
          <w:color w:val="auto"/>
          <w:sz w:val="24"/>
          <w:szCs w:val="24"/>
          <w:highlight w:val="none"/>
        </w:rPr>
      </w:pPr>
    </w:p>
    <w:p w14:paraId="3B39023B">
      <w:pPr>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投标人名称：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none"/>
        </w:rPr>
        <w:t>（盖CA电子公章）</w:t>
      </w:r>
    </w:p>
    <w:p w14:paraId="7AB25F9A">
      <w:pPr>
        <w:ind w:firstLine="480"/>
        <w:rPr>
          <w:rFonts w:hint="eastAsia" w:ascii="方正仿宋_GB2312" w:hAnsi="方正仿宋_GB2312" w:eastAsia="方正仿宋_GB2312" w:cs="方正仿宋_GB2312"/>
          <w:color w:val="auto"/>
          <w:sz w:val="24"/>
          <w:szCs w:val="24"/>
          <w:highlight w:val="none"/>
        </w:rPr>
      </w:pPr>
    </w:p>
    <w:p w14:paraId="62260042">
      <w:pPr>
        <w:ind w:firstLine="48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日期：    年    月   日</w:t>
      </w:r>
    </w:p>
    <w:p w14:paraId="783539DF">
      <w:pPr>
        <w:rPr>
          <w:rFonts w:hint="eastAsia" w:ascii="方正仿宋_GB2312" w:hAnsi="方正仿宋_GB2312" w:eastAsia="方正仿宋_GB2312" w:cs="方正仿宋_GB2312"/>
          <w:color w:val="auto"/>
          <w:highlight w:val="none"/>
        </w:rPr>
      </w:pPr>
    </w:p>
    <w:p w14:paraId="56AB7011">
      <w:pPr>
        <w:rPr>
          <w:rFonts w:hint="eastAsia" w:ascii="方正仿宋_GB2312" w:hAnsi="方正仿宋_GB2312" w:eastAsia="方正仿宋_GB2312" w:cs="方正仿宋_GB2312"/>
          <w:color w:val="auto"/>
          <w:highlight w:val="none"/>
        </w:rPr>
      </w:pPr>
    </w:p>
    <w:p w14:paraId="07E170B3">
      <w:pPr>
        <w:rPr>
          <w:rFonts w:hint="eastAsia" w:ascii="方正仿宋_GB2312" w:hAnsi="方正仿宋_GB2312" w:eastAsia="方正仿宋_GB2312" w:cs="方正仿宋_GB2312"/>
          <w:color w:val="auto"/>
          <w:highlight w:val="none"/>
        </w:rPr>
      </w:pPr>
    </w:p>
    <w:p w14:paraId="42F8EB28">
      <w:pPr>
        <w:rPr>
          <w:rFonts w:hint="eastAsia" w:ascii="方正仿宋_GB2312" w:hAnsi="方正仿宋_GB2312" w:eastAsia="方正仿宋_GB2312" w:cs="方正仿宋_GB2312"/>
          <w:color w:val="auto"/>
          <w:highlight w:val="none"/>
        </w:rPr>
      </w:pPr>
    </w:p>
    <w:p w14:paraId="73835D44">
      <w:pPr>
        <w:rPr>
          <w:rFonts w:hint="eastAsia" w:ascii="方正仿宋_GB2312" w:hAnsi="方正仿宋_GB2312" w:eastAsia="方正仿宋_GB2312" w:cs="方正仿宋_GB2312"/>
          <w:color w:val="auto"/>
          <w:highlight w:val="none"/>
        </w:rPr>
      </w:pPr>
    </w:p>
    <w:p w14:paraId="10CF7CE7">
      <w:pPr>
        <w:rPr>
          <w:rFonts w:hint="eastAsia" w:ascii="方正仿宋_GB2312" w:hAnsi="方正仿宋_GB2312" w:eastAsia="方正仿宋_GB2312" w:cs="方正仿宋_GB2312"/>
          <w:color w:val="auto"/>
          <w:highlight w:val="none"/>
        </w:rPr>
      </w:pPr>
    </w:p>
    <w:p w14:paraId="6B49D1FB">
      <w:pPr>
        <w:rPr>
          <w:rFonts w:hint="eastAsia" w:ascii="方正仿宋_GB2312" w:hAnsi="方正仿宋_GB2312" w:eastAsia="方正仿宋_GB2312" w:cs="方正仿宋_GB2312"/>
          <w:color w:val="auto"/>
          <w:highlight w:val="none"/>
        </w:rPr>
      </w:pPr>
    </w:p>
    <w:p w14:paraId="060AF890">
      <w:pPr>
        <w:rPr>
          <w:rFonts w:hint="eastAsia" w:ascii="方正仿宋_GB2312" w:hAnsi="方正仿宋_GB2312" w:eastAsia="方正仿宋_GB2312" w:cs="方正仿宋_GB2312"/>
          <w:color w:val="auto"/>
          <w:highlight w:val="none"/>
        </w:rPr>
      </w:pPr>
      <w:bookmarkStart w:id="145" w:name="_Toc15099"/>
      <w:r>
        <w:rPr>
          <w:rFonts w:hint="eastAsia" w:ascii="方正仿宋_GB2312" w:hAnsi="方正仿宋_GB2312" w:eastAsia="方正仿宋_GB2312" w:cs="方正仿宋_GB2312"/>
          <w:bCs/>
          <w:color w:val="auto"/>
          <w:sz w:val="32"/>
          <w:szCs w:val="24"/>
          <w:highlight w:val="none"/>
        </w:rPr>
        <w:br w:type="page"/>
      </w:r>
      <w:bookmarkEnd w:id="145"/>
    </w:p>
    <w:p w14:paraId="28EDA239">
      <w:pPr>
        <w:outlineLvl w:val="1"/>
        <w:rPr>
          <w:rFonts w:hint="eastAsia" w:ascii="方正仿宋_GB2312" w:hAnsi="方正仿宋_GB2312" w:eastAsia="方正仿宋_GB2312" w:cs="方正仿宋_GB2312"/>
          <w:color w:val="auto"/>
          <w:highlight w:val="none"/>
        </w:rPr>
      </w:pPr>
      <w:bookmarkStart w:id="146" w:name="_Toc29506"/>
      <w:bookmarkStart w:id="147" w:name="_Toc3680"/>
      <w:bookmarkStart w:id="148" w:name="_Toc27409"/>
      <w:r>
        <w:rPr>
          <w:rFonts w:hint="eastAsia" w:ascii="方正仿宋_GB2312" w:hAnsi="方正仿宋_GB2312" w:eastAsia="方正仿宋_GB2312" w:cs="方正仿宋_GB2312"/>
          <w:bCs/>
          <w:color w:val="auto"/>
          <w:sz w:val="32"/>
          <w:szCs w:val="24"/>
          <w:highlight w:val="none"/>
          <w:lang w:val="en-US" w:eastAsia="zh-CN"/>
        </w:rPr>
        <w:t>二</w:t>
      </w:r>
      <w:r>
        <w:rPr>
          <w:rFonts w:hint="eastAsia" w:ascii="方正仿宋_GB2312" w:hAnsi="方正仿宋_GB2312" w:eastAsia="方正仿宋_GB2312" w:cs="方正仿宋_GB2312"/>
          <w:bCs/>
          <w:color w:val="auto"/>
          <w:sz w:val="32"/>
          <w:szCs w:val="24"/>
          <w:highlight w:val="none"/>
        </w:rPr>
        <w:t>、</w:t>
      </w:r>
      <w:bookmarkEnd w:id="146"/>
      <w:bookmarkEnd w:id="147"/>
      <w:r>
        <w:rPr>
          <w:rFonts w:hint="eastAsia" w:ascii="方正仿宋_GB2312" w:hAnsi="方正仿宋_GB2312" w:eastAsia="方正仿宋_GB2312" w:cs="方正仿宋_GB2312"/>
          <w:bCs/>
          <w:color w:val="auto"/>
          <w:sz w:val="32"/>
          <w:szCs w:val="24"/>
          <w:highlight w:val="none"/>
        </w:rPr>
        <w:t>法人授权书</w:t>
      </w:r>
      <w:bookmarkEnd w:id="148"/>
    </w:p>
    <w:p w14:paraId="23823FC7">
      <w:pPr>
        <w:jc w:val="center"/>
        <w:rPr>
          <w:rFonts w:hint="eastAsia" w:ascii="方正仿宋_GB2312" w:hAnsi="方正仿宋_GB2312" w:eastAsia="方正仿宋_GB2312" w:cs="方正仿宋_GB2312"/>
          <w:bCs/>
          <w:color w:val="auto"/>
          <w:sz w:val="32"/>
          <w:szCs w:val="32"/>
          <w:highlight w:val="none"/>
        </w:rPr>
      </w:pPr>
      <w:bookmarkStart w:id="149" w:name="OLE_LINK6"/>
      <w:r>
        <w:rPr>
          <w:rFonts w:hint="eastAsia" w:ascii="方正仿宋_GB2312" w:hAnsi="方正仿宋_GB2312" w:eastAsia="方正仿宋_GB2312" w:cs="方正仿宋_GB2312"/>
          <w:bCs/>
          <w:color w:val="auto"/>
          <w:sz w:val="32"/>
          <w:szCs w:val="32"/>
          <w:highlight w:val="none"/>
        </w:rPr>
        <w:t>法人授权书</w:t>
      </w:r>
    </w:p>
    <w:bookmarkEnd w:id="149"/>
    <w:p w14:paraId="65CA1E5F">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本授权书声明：____________（投标人名称）授权________________（被授权人的姓名）为我方就</w:t>
      </w:r>
      <w:r>
        <w:rPr>
          <w:rFonts w:hint="eastAsia" w:ascii="方正仿宋_GB2312" w:hAnsi="方正仿宋_GB2312" w:eastAsia="方正仿宋_GB2312" w:cs="方正仿宋_GB2312"/>
          <w:color w:val="auto"/>
          <w:sz w:val="24"/>
          <w:szCs w:val="24"/>
          <w:highlight w:val="none"/>
          <w:u w:val="single"/>
        </w:rPr>
        <w:t>（项目编号）</w:t>
      </w:r>
      <w:r>
        <w:rPr>
          <w:rFonts w:hint="eastAsia" w:ascii="方正仿宋_GB2312" w:hAnsi="方正仿宋_GB2312" w:eastAsia="方正仿宋_GB2312" w:cs="方正仿宋_GB2312"/>
          <w:color w:val="auto"/>
          <w:sz w:val="24"/>
          <w:szCs w:val="24"/>
          <w:highlight w:val="none"/>
        </w:rPr>
        <w:t>号</w:t>
      </w:r>
      <w:r>
        <w:rPr>
          <w:rFonts w:hint="eastAsia" w:ascii="方正仿宋_GB2312" w:hAnsi="方正仿宋_GB2312" w:eastAsia="方正仿宋_GB2312" w:cs="方正仿宋_GB2312"/>
          <w:color w:val="auto"/>
          <w:sz w:val="24"/>
          <w:szCs w:val="24"/>
          <w:highlight w:val="none"/>
          <w:u w:val="single"/>
        </w:rPr>
        <w:t xml:space="preserve">          （项目名称）           项目</w:t>
      </w:r>
      <w:r>
        <w:rPr>
          <w:rFonts w:hint="eastAsia" w:ascii="方正仿宋_GB2312" w:hAnsi="方正仿宋_GB2312" w:eastAsia="方正仿宋_GB2312" w:cs="方正仿宋_GB2312"/>
          <w:color w:val="auto"/>
          <w:sz w:val="24"/>
          <w:szCs w:val="24"/>
          <w:highlight w:val="none"/>
        </w:rPr>
        <w:t>采购活动的合法代理人，以本单位名义全权处理一切与该项目采购有关的事务。</w:t>
      </w:r>
    </w:p>
    <w:p w14:paraId="4265D7AC">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本授权书于______年____月____日起生效，特此声明。</w:t>
      </w:r>
    </w:p>
    <w:p w14:paraId="4216DC18">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被授权人身份证号码：</w:t>
      </w:r>
      <w:r>
        <w:rPr>
          <w:rFonts w:hint="eastAsia" w:ascii="方正仿宋_GB2312" w:hAnsi="方正仿宋_GB2312" w:eastAsia="方正仿宋_GB2312" w:cs="方正仿宋_GB2312"/>
          <w:color w:val="auto"/>
          <w:sz w:val="24"/>
          <w:szCs w:val="24"/>
          <w:highlight w:val="none"/>
          <w:u w:val="single"/>
        </w:rPr>
        <w:t xml:space="preserve">                             </w:t>
      </w:r>
    </w:p>
    <w:p w14:paraId="37D3E33F">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被授权人联系电话：（手机）</w:t>
      </w:r>
      <w:r>
        <w:rPr>
          <w:rFonts w:hint="eastAsia" w:ascii="方正仿宋_GB2312" w:hAnsi="方正仿宋_GB2312" w:eastAsia="方正仿宋_GB2312" w:cs="方正仿宋_GB2312"/>
          <w:color w:val="auto"/>
          <w:sz w:val="24"/>
          <w:szCs w:val="24"/>
          <w:highlight w:val="none"/>
          <w:u w:val="single"/>
        </w:rPr>
        <w:t xml:space="preserve">                          </w:t>
      </w:r>
    </w:p>
    <w:p w14:paraId="6D4A6B18">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授权单位名称：</w:t>
      </w:r>
      <w:r>
        <w:rPr>
          <w:rFonts w:hint="eastAsia" w:ascii="方正仿宋_GB2312" w:hAnsi="方正仿宋_GB2312" w:eastAsia="方正仿宋_GB2312" w:cs="方正仿宋_GB2312"/>
          <w:color w:val="auto"/>
          <w:sz w:val="24"/>
          <w:szCs w:val="24"/>
          <w:highlight w:val="none"/>
          <w:u w:val="single"/>
        </w:rPr>
        <w:t>（盖公章）</w:t>
      </w:r>
    </w:p>
    <w:p w14:paraId="0F302662">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单位地址：</w:t>
      </w:r>
      <w:r>
        <w:rPr>
          <w:rFonts w:hint="eastAsia" w:ascii="方正仿宋_GB2312" w:hAnsi="方正仿宋_GB2312" w:eastAsia="方正仿宋_GB2312" w:cs="方正仿宋_GB2312"/>
          <w:color w:val="auto"/>
          <w:sz w:val="24"/>
          <w:szCs w:val="24"/>
          <w:highlight w:val="none"/>
          <w:u w:val="single"/>
        </w:rPr>
        <w:t xml:space="preserve">                                         </w:t>
      </w:r>
    </w:p>
    <w:p w14:paraId="079AEC50">
      <w:pPr>
        <w:tabs>
          <w:tab w:val="left" w:pos="36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w:t>
      </w:r>
      <w:bookmarkStart w:id="150" w:name="_Hlt26671380"/>
      <w:bookmarkEnd w:id="150"/>
      <w:bookmarkStart w:id="151" w:name="_Hlt26955070"/>
      <w:bookmarkEnd w:id="151"/>
      <w:bookmarkStart w:id="152" w:name="_格式3__银行出具的资信证明"/>
      <w:bookmarkEnd w:id="152"/>
      <w:r>
        <w:rPr>
          <w:rFonts w:hint="eastAsia" w:ascii="方正仿宋_GB2312" w:hAnsi="方正仿宋_GB2312" w:eastAsia="方正仿宋_GB2312" w:cs="方正仿宋_GB2312"/>
          <w:color w:val="auto"/>
          <w:sz w:val="24"/>
          <w:szCs w:val="24"/>
          <w:highlight w:val="none"/>
          <w:u w:val="single"/>
        </w:rPr>
        <w:t xml:space="preserve">                                         </w:t>
      </w:r>
    </w:p>
    <w:p w14:paraId="7F0A5C9B">
      <w:pPr>
        <w:pStyle w:val="125"/>
        <w:spacing w:line="600" w:lineRule="exact"/>
        <w:ind w:firstLine="63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（附授权代理人身份证明复印件并加盖单位公章。）</w:t>
      </w:r>
    </w:p>
    <w:p w14:paraId="5AB4C8C7">
      <w:pPr>
        <w:spacing w:line="700" w:lineRule="exact"/>
        <w:ind w:firstLine="629"/>
        <w:rPr>
          <w:rFonts w:hint="eastAsia" w:ascii="方正仿宋_GB2312" w:hAnsi="方正仿宋_GB2312" w:eastAsia="方正仿宋_GB2312" w:cs="方正仿宋_GB2312"/>
          <w:color w:val="auto"/>
          <w:sz w:val="24"/>
          <w:highlight w:val="none"/>
        </w:rPr>
      </w:pPr>
    </w:p>
    <w:p w14:paraId="1BA886B4">
      <w:pPr>
        <w:outlineLvl w:val="1"/>
        <w:rPr>
          <w:rFonts w:hint="eastAsia" w:ascii="方正仿宋_GB2312" w:hAnsi="方正仿宋_GB2312" w:eastAsia="方正仿宋_GB2312" w:cs="方正仿宋_GB2312"/>
          <w:b/>
          <w:color w:val="auto"/>
          <w:sz w:val="32"/>
          <w:szCs w:val="24"/>
          <w:highlight w:val="none"/>
        </w:rPr>
      </w:pPr>
      <w:r>
        <w:rPr>
          <w:rFonts w:hint="eastAsia" w:ascii="方正仿宋_GB2312" w:hAnsi="方正仿宋_GB2312" w:eastAsia="方正仿宋_GB2312" w:cs="方正仿宋_GB2312"/>
          <w:b/>
          <w:color w:val="auto"/>
          <w:sz w:val="32"/>
          <w:szCs w:val="24"/>
          <w:highlight w:val="none"/>
        </w:rPr>
        <w:br w:type="page" w:clear="all"/>
      </w:r>
      <w:bookmarkStart w:id="153" w:name="_Toc30543"/>
      <w:bookmarkStart w:id="154" w:name="_Toc13550"/>
      <w:bookmarkStart w:id="155" w:name="_Toc27199"/>
      <w:r>
        <w:rPr>
          <w:rFonts w:hint="eastAsia" w:ascii="方正仿宋_GB2312" w:hAnsi="方正仿宋_GB2312" w:eastAsia="方正仿宋_GB2312" w:cs="方正仿宋_GB2312"/>
          <w:bCs/>
          <w:color w:val="auto"/>
          <w:sz w:val="32"/>
          <w:szCs w:val="24"/>
          <w:highlight w:val="none"/>
          <w:lang w:val="en-US" w:eastAsia="zh-CN"/>
        </w:rPr>
        <w:t>三</w:t>
      </w:r>
      <w:r>
        <w:rPr>
          <w:rFonts w:hint="eastAsia" w:ascii="方正仿宋_GB2312" w:hAnsi="方正仿宋_GB2312" w:eastAsia="方正仿宋_GB2312" w:cs="方正仿宋_GB2312"/>
          <w:bCs/>
          <w:color w:val="auto"/>
          <w:sz w:val="32"/>
          <w:szCs w:val="24"/>
          <w:highlight w:val="none"/>
        </w:rPr>
        <w:t>、开标一览表</w:t>
      </w:r>
      <w:bookmarkEnd w:id="153"/>
      <w:bookmarkEnd w:id="154"/>
      <w:bookmarkEnd w:id="155"/>
    </w:p>
    <w:p w14:paraId="54F7B3B5">
      <w:pPr>
        <w:rPr>
          <w:rFonts w:hint="eastAsia" w:ascii="方正仿宋_GB2312" w:hAnsi="方正仿宋_GB2312" w:eastAsia="方正仿宋_GB2312" w:cs="方正仿宋_GB2312"/>
          <w:color w:val="auto"/>
          <w:sz w:val="24"/>
          <w:szCs w:val="24"/>
          <w:highlight w:val="none"/>
        </w:rPr>
      </w:pPr>
    </w:p>
    <w:p w14:paraId="5C44E08F">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投标人全称（公章）：供应商名称</w:t>
      </w:r>
    </w:p>
    <w:p w14:paraId="1D37C458">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项目名称：</w:t>
      </w:r>
    </w:p>
    <w:p w14:paraId="22C8F607">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项目编号：</w:t>
      </w:r>
    </w:p>
    <w:tbl>
      <w:tblPr>
        <w:tblStyle w:val="55"/>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27"/>
        <w:gridCol w:w="5768"/>
      </w:tblGrid>
      <w:tr w14:paraId="7E7A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627"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2D7F180B">
            <w:pPr>
              <w:snapToGrid w:val="0"/>
              <w:spacing w:line="240" w:lineRule="auto"/>
              <w:ind w:left="0" w:leftChars="0" w:right="0" w:rightChars="0" w:firstLine="0" w:firstLineChars="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标题</w:t>
            </w:r>
          </w:p>
        </w:tc>
        <w:tc>
          <w:tcPr>
            <w:tcW w:w="5768"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192A9243">
            <w:pPr>
              <w:snapToGrid w:val="0"/>
              <w:spacing w:line="240" w:lineRule="auto"/>
              <w:ind w:left="0" w:leftChars="0" w:right="0" w:rightChars="0" w:firstLine="0" w:firstLineChars="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内容</w:t>
            </w:r>
          </w:p>
        </w:tc>
      </w:tr>
      <w:tr w14:paraId="7685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627"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3862C756">
            <w:pPr>
              <w:snapToGrid w:val="0"/>
              <w:spacing w:line="240" w:lineRule="auto"/>
              <w:ind w:left="0" w:leftChars="0" w:right="0" w:rightChars="0" w:firstLine="0" w:firstLineChars="0"/>
              <w:jc w:val="center"/>
              <w:rPr>
                <w:rFonts w:hint="default" w:ascii="仿宋" w:hAnsi="仿宋" w:eastAsia="仿宋" w:cs="仿宋"/>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投标总报价</w:t>
            </w:r>
          </w:p>
        </w:tc>
        <w:tc>
          <w:tcPr>
            <w:tcW w:w="5768"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5E9B31E5">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r>
    </w:tbl>
    <w:p w14:paraId="62ACFDE2">
      <w:pPr>
        <w:rPr>
          <w:rFonts w:hint="eastAsia" w:ascii="方正仿宋_GB2312" w:hAnsi="方正仿宋_GB2312" w:eastAsia="方正仿宋_GB2312" w:cs="方正仿宋_GB2312"/>
          <w:color w:val="auto"/>
          <w:highlight w:val="none"/>
        </w:rPr>
      </w:pPr>
    </w:p>
    <w:p w14:paraId="710836A4">
      <w:pP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highlight w:val="none"/>
        </w:rPr>
        <w:t xml:space="preserve">                                            </w:t>
      </w:r>
      <w:bookmarkStart w:id="156" w:name="_Toc12113"/>
      <w:r>
        <w:rPr>
          <w:rFonts w:hint="eastAsia" w:ascii="方正仿宋_GB2312" w:hAnsi="方正仿宋_GB2312" w:eastAsia="方正仿宋_GB2312" w:cs="方正仿宋_GB2312"/>
          <w:color w:val="auto"/>
          <w:sz w:val="24"/>
          <w:highlight w:val="none"/>
        </w:rPr>
        <w:t>日期：     年     月     日</w:t>
      </w:r>
      <w:bookmarkEnd w:id="156"/>
    </w:p>
    <w:p w14:paraId="53F01F69">
      <w:pPr>
        <w:outlineLvl w:val="1"/>
        <w:rPr>
          <w:rFonts w:hint="eastAsia" w:ascii="方正仿宋_GB2312" w:hAnsi="方正仿宋_GB2312" w:eastAsia="方正仿宋_GB2312" w:cs="方正仿宋_GB2312"/>
          <w:b/>
          <w:color w:val="auto"/>
          <w:sz w:val="32"/>
          <w:szCs w:val="24"/>
          <w:highlight w:val="none"/>
        </w:rPr>
      </w:pPr>
      <w:r>
        <w:rPr>
          <w:rFonts w:hint="eastAsia" w:ascii="方正仿宋_GB2312" w:hAnsi="方正仿宋_GB2312" w:eastAsia="方正仿宋_GB2312" w:cs="方正仿宋_GB2312"/>
          <w:b/>
          <w:color w:val="auto"/>
          <w:sz w:val="32"/>
          <w:szCs w:val="24"/>
          <w:highlight w:val="none"/>
        </w:rPr>
        <w:br w:type="page" w:clear="all"/>
      </w:r>
      <w:bookmarkStart w:id="157" w:name="_Toc26543"/>
      <w:bookmarkStart w:id="158" w:name="_Toc956"/>
      <w:bookmarkStart w:id="159" w:name="_Toc12614"/>
      <w:r>
        <w:rPr>
          <w:rFonts w:hint="eastAsia" w:ascii="方正仿宋_GB2312" w:hAnsi="方正仿宋_GB2312" w:eastAsia="方正仿宋_GB2312" w:cs="方正仿宋_GB2312"/>
          <w:bCs/>
          <w:color w:val="auto"/>
          <w:sz w:val="32"/>
          <w:szCs w:val="24"/>
          <w:highlight w:val="none"/>
          <w:lang w:val="en-US" w:eastAsia="zh-CN"/>
        </w:rPr>
        <w:t>四</w:t>
      </w:r>
      <w:r>
        <w:rPr>
          <w:rFonts w:hint="eastAsia" w:ascii="方正仿宋_GB2312" w:hAnsi="方正仿宋_GB2312" w:eastAsia="方正仿宋_GB2312" w:cs="方正仿宋_GB2312"/>
          <w:bCs/>
          <w:color w:val="auto"/>
          <w:sz w:val="32"/>
          <w:szCs w:val="24"/>
          <w:highlight w:val="none"/>
        </w:rPr>
        <w:t>、</w:t>
      </w:r>
      <w:bookmarkEnd w:id="157"/>
      <w:bookmarkEnd w:id="158"/>
      <w:r>
        <w:rPr>
          <w:rFonts w:hint="eastAsia" w:ascii="方正仿宋_GB2312" w:hAnsi="方正仿宋_GB2312" w:eastAsia="方正仿宋_GB2312" w:cs="方正仿宋_GB2312"/>
          <w:bCs/>
          <w:color w:val="auto"/>
          <w:sz w:val="32"/>
          <w:szCs w:val="24"/>
          <w:highlight w:val="none"/>
        </w:rPr>
        <w:t>分项报价表</w:t>
      </w:r>
      <w:bookmarkEnd w:id="159"/>
    </w:p>
    <w:p w14:paraId="27B5D752">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分项报价表</w:t>
      </w:r>
    </w:p>
    <w:p w14:paraId="37AB40B8">
      <w:pPr>
        <w:jc w:val="center"/>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Cs/>
          <w:color w:val="auto"/>
          <w:sz w:val="32"/>
          <w:szCs w:val="32"/>
          <w:highlight w:val="none"/>
        </w:rPr>
        <w:t>（货物类）</w:t>
      </w:r>
    </w:p>
    <w:tbl>
      <w:tblPr>
        <w:tblStyle w:val="5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1136"/>
      </w:tblGrid>
      <w:tr w14:paraId="2C84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7664E167">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序号</w:t>
            </w:r>
          </w:p>
        </w:tc>
        <w:tc>
          <w:tcPr>
            <w:tcW w:w="1052" w:type="dxa"/>
            <w:vAlign w:val="center"/>
          </w:tcPr>
          <w:p w14:paraId="5EEFBD3C">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产品</w:t>
            </w:r>
          </w:p>
          <w:p w14:paraId="01ABA535">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名称</w:t>
            </w:r>
          </w:p>
        </w:tc>
        <w:tc>
          <w:tcPr>
            <w:tcW w:w="814" w:type="dxa"/>
            <w:vAlign w:val="center"/>
          </w:tcPr>
          <w:p w14:paraId="35A601E3">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品牌</w:t>
            </w:r>
          </w:p>
        </w:tc>
        <w:tc>
          <w:tcPr>
            <w:tcW w:w="1072" w:type="dxa"/>
            <w:vAlign w:val="center"/>
          </w:tcPr>
          <w:p w14:paraId="076BD37E">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规格</w:t>
            </w:r>
          </w:p>
          <w:p w14:paraId="20CCDA12">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型号</w:t>
            </w:r>
          </w:p>
        </w:tc>
        <w:tc>
          <w:tcPr>
            <w:tcW w:w="1617" w:type="dxa"/>
            <w:vAlign w:val="center"/>
          </w:tcPr>
          <w:p w14:paraId="6E9A40AD">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制造商名称</w:t>
            </w:r>
          </w:p>
        </w:tc>
        <w:tc>
          <w:tcPr>
            <w:tcW w:w="1233" w:type="dxa"/>
            <w:vAlign w:val="center"/>
          </w:tcPr>
          <w:p w14:paraId="0CBAB2A8">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产地</w:t>
            </w:r>
          </w:p>
        </w:tc>
        <w:tc>
          <w:tcPr>
            <w:tcW w:w="921" w:type="dxa"/>
            <w:vAlign w:val="center"/>
          </w:tcPr>
          <w:p w14:paraId="631BA8C1">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数量</w:t>
            </w:r>
          </w:p>
        </w:tc>
        <w:tc>
          <w:tcPr>
            <w:tcW w:w="932" w:type="dxa"/>
            <w:vAlign w:val="center"/>
          </w:tcPr>
          <w:p w14:paraId="4D8AD4AC">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分项</w:t>
            </w:r>
          </w:p>
          <w:p w14:paraId="70CA9A0F">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单价</w:t>
            </w:r>
          </w:p>
        </w:tc>
        <w:tc>
          <w:tcPr>
            <w:tcW w:w="1136" w:type="dxa"/>
            <w:vAlign w:val="center"/>
          </w:tcPr>
          <w:p w14:paraId="7D760C20">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分项</w:t>
            </w:r>
          </w:p>
          <w:p w14:paraId="36889DBB">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总价</w:t>
            </w:r>
          </w:p>
        </w:tc>
      </w:tr>
      <w:tr w14:paraId="6BB8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trPr>
        <w:tc>
          <w:tcPr>
            <w:tcW w:w="500" w:type="dxa"/>
            <w:vAlign w:val="center"/>
          </w:tcPr>
          <w:p w14:paraId="5677E3BF">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052" w:type="dxa"/>
            <w:vAlign w:val="center"/>
          </w:tcPr>
          <w:p w14:paraId="0F61C4E3">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04729671">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5400329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728F7080">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vAlign w:val="center"/>
          </w:tcPr>
          <w:p w14:paraId="2629277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41BDBB8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567F1A0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17F1932D">
            <w:pPr>
              <w:spacing w:line="0" w:lineRule="atLeast"/>
              <w:jc w:val="center"/>
              <w:rPr>
                <w:rFonts w:hint="eastAsia" w:ascii="方正仿宋_GB2312" w:hAnsi="方正仿宋_GB2312" w:eastAsia="方正仿宋_GB2312" w:cs="方正仿宋_GB2312"/>
                <w:color w:val="auto"/>
                <w:sz w:val="24"/>
                <w:szCs w:val="24"/>
                <w:highlight w:val="none"/>
              </w:rPr>
            </w:pPr>
          </w:p>
        </w:tc>
      </w:tr>
      <w:tr w14:paraId="4409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0B3005F2">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052" w:type="dxa"/>
            <w:vAlign w:val="center"/>
          </w:tcPr>
          <w:p w14:paraId="138FE25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30CB4EFF">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0FA24F01">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7E56684B">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04B410AD">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089EBA1C">
            <w:pPr>
              <w:spacing w:line="0" w:lineRule="atLeast"/>
              <w:jc w:val="center"/>
              <w:rPr>
                <w:rFonts w:hint="eastAsia" w:ascii="方正仿宋_GB2312" w:hAnsi="方正仿宋_GB2312" w:eastAsia="方正仿宋_GB2312" w:cs="方正仿宋_GB2312"/>
                <w:color w:val="auto"/>
                <w:sz w:val="24"/>
                <w:szCs w:val="24"/>
                <w:highlight w:val="none"/>
                <w:u w:val="single"/>
              </w:rPr>
            </w:pPr>
          </w:p>
        </w:tc>
        <w:tc>
          <w:tcPr>
            <w:tcW w:w="932" w:type="dxa"/>
            <w:vAlign w:val="center"/>
          </w:tcPr>
          <w:p w14:paraId="14566412">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6C0750F6">
            <w:pPr>
              <w:spacing w:line="0" w:lineRule="atLeast"/>
              <w:jc w:val="center"/>
              <w:rPr>
                <w:rFonts w:hint="eastAsia" w:ascii="方正仿宋_GB2312" w:hAnsi="方正仿宋_GB2312" w:eastAsia="方正仿宋_GB2312" w:cs="方正仿宋_GB2312"/>
                <w:color w:val="auto"/>
                <w:sz w:val="24"/>
                <w:szCs w:val="24"/>
                <w:highlight w:val="none"/>
              </w:rPr>
            </w:pPr>
          </w:p>
        </w:tc>
      </w:tr>
      <w:tr w14:paraId="776A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5821DAA2">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052" w:type="dxa"/>
            <w:vAlign w:val="center"/>
          </w:tcPr>
          <w:p w14:paraId="480BAD2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474E6F96">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65D624F6">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742C6B07">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61263DBE">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1FE23660">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56404BF2">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301A9A6D">
            <w:pPr>
              <w:spacing w:line="0" w:lineRule="atLeast"/>
              <w:jc w:val="center"/>
              <w:rPr>
                <w:rFonts w:hint="eastAsia" w:ascii="方正仿宋_GB2312" w:hAnsi="方正仿宋_GB2312" w:eastAsia="方正仿宋_GB2312" w:cs="方正仿宋_GB2312"/>
                <w:color w:val="auto"/>
                <w:sz w:val="24"/>
                <w:szCs w:val="24"/>
                <w:highlight w:val="none"/>
              </w:rPr>
            </w:pPr>
          </w:p>
        </w:tc>
      </w:tr>
      <w:tr w14:paraId="54F8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65BBC58F">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052" w:type="dxa"/>
            <w:vAlign w:val="center"/>
          </w:tcPr>
          <w:p w14:paraId="61802A91">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43455690">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5B24390B">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1648A7ED">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12BA2148">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06D324D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4C87279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79FB63A0">
            <w:pPr>
              <w:spacing w:line="0" w:lineRule="atLeast"/>
              <w:jc w:val="center"/>
              <w:rPr>
                <w:rFonts w:hint="eastAsia" w:ascii="方正仿宋_GB2312" w:hAnsi="方正仿宋_GB2312" w:eastAsia="方正仿宋_GB2312" w:cs="方正仿宋_GB2312"/>
                <w:color w:val="auto"/>
                <w:sz w:val="24"/>
                <w:szCs w:val="24"/>
                <w:highlight w:val="none"/>
              </w:rPr>
            </w:pPr>
          </w:p>
        </w:tc>
      </w:tr>
      <w:tr w14:paraId="6E3F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vAlign w:val="center"/>
          </w:tcPr>
          <w:p w14:paraId="382AA29C">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tc>
        <w:tc>
          <w:tcPr>
            <w:tcW w:w="1052" w:type="dxa"/>
            <w:vAlign w:val="center"/>
          </w:tcPr>
          <w:p w14:paraId="56575237">
            <w:pPr>
              <w:spacing w:line="0" w:lineRule="atLeas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tc>
        <w:tc>
          <w:tcPr>
            <w:tcW w:w="814" w:type="dxa"/>
            <w:vAlign w:val="center"/>
          </w:tcPr>
          <w:p w14:paraId="6DACBA7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5604EF8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244170A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3885F039">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5EAADC47">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38E02C3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36BDD44F">
            <w:pPr>
              <w:spacing w:line="0" w:lineRule="atLeast"/>
              <w:jc w:val="center"/>
              <w:rPr>
                <w:rFonts w:hint="eastAsia" w:ascii="方正仿宋_GB2312" w:hAnsi="方正仿宋_GB2312" w:eastAsia="方正仿宋_GB2312" w:cs="方正仿宋_GB2312"/>
                <w:color w:val="auto"/>
                <w:sz w:val="24"/>
                <w:szCs w:val="24"/>
                <w:highlight w:val="none"/>
              </w:rPr>
            </w:pPr>
          </w:p>
        </w:tc>
      </w:tr>
      <w:tr w14:paraId="5D54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vAlign w:val="center"/>
          </w:tcPr>
          <w:p w14:paraId="79748A75">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52" w:type="dxa"/>
            <w:vAlign w:val="center"/>
          </w:tcPr>
          <w:p w14:paraId="60AA324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814" w:type="dxa"/>
            <w:vAlign w:val="center"/>
          </w:tcPr>
          <w:p w14:paraId="52C4BBF5">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072" w:type="dxa"/>
            <w:vAlign w:val="center"/>
          </w:tcPr>
          <w:p w14:paraId="10FE655A">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617" w:type="dxa"/>
            <w:vAlign w:val="center"/>
          </w:tcPr>
          <w:p w14:paraId="32CD99BF">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233" w:type="dxa"/>
          </w:tcPr>
          <w:p w14:paraId="4C2D5644">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21" w:type="dxa"/>
            <w:vAlign w:val="center"/>
          </w:tcPr>
          <w:p w14:paraId="5401E6FB">
            <w:pPr>
              <w:spacing w:line="0" w:lineRule="atLeast"/>
              <w:jc w:val="center"/>
              <w:rPr>
                <w:rFonts w:hint="eastAsia" w:ascii="方正仿宋_GB2312" w:hAnsi="方正仿宋_GB2312" w:eastAsia="方正仿宋_GB2312" w:cs="方正仿宋_GB2312"/>
                <w:color w:val="auto"/>
                <w:sz w:val="24"/>
                <w:szCs w:val="24"/>
                <w:highlight w:val="none"/>
              </w:rPr>
            </w:pPr>
          </w:p>
        </w:tc>
        <w:tc>
          <w:tcPr>
            <w:tcW w:w="932" w:type="dxa"/>
            <w:vAlign w:val="center"/>
          </w:tcPr>
          <w:p w14:paraId="2E86A0BC">
            <w:pPr>
              <w:spacing w:line="0" w:lineRule="atLeast"/>
              <w:jc w:val="center"/>
              <w:rPr>
                <w:rFonts w:hint="eastAsia" w:ascii="方正仿宋_GB2312" w:hAnsi="方正仿宋_GB2312" w:eastAsia="方正仿宋_GB2312" w:cs="方正仿宋_GB2312"/>
                <w:color w:val="auto"/>
                <w:sz w:val="24"/>
                <w:szCs w:val="24"/>
                <w:highlight w:val="none"/>
              </w:rPr>
            </w:pPr>
          </w:p>
        </w:tc>
        <w:tc>
          <w:tcPr>
            <w:tcW w:w="1136" w:type="dxa"/>
            <w:vAlign w:val="center"/>
          </w:tcPr>
          <w:p w14:paraId="074468A1">
            <w:pPr>
              <w:spacing w:line="0" w:lineRule="atLeast"/>
              <w:jc w:val="center"/>
              <w:rPr>
                <w:rFonts w:hint="eastAsia" w:ascii="方正仿宋_GB2312" w:hAnsi="方正仿宋_GB2312" w:eastAsia="方正仿宋_GB2312" w:cs="方正仿宋_GB2312"/>
                <w:color w:val="auto"/>
                <w:sz w:val="24"/>
                <w:szCs w:val="24"/>
                <w:highlight w:val="none"/>
              </w:rPr>
            </w:pPr>
          </w:p>
        </w:tc>
      </w:tr>
      <w:tr w14:paraId="591E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366" w:type="dxa"/>
            <w:gridSpan w:val="3"/>
            <w:vAlign w:val="center"/>
          </w:tcPr>
          <w:p w14:paraId="0DE90645">
            <w:pPr>
              <w:spacing w:line="500" w:lineRule="exact"/>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8"/>
                <w:szCs w:val="28"/>
                <w:highlight w:val="none"/>
              </w:rPr>
              <w:t>投标总报价</w:t>
            </w:r>
          </w:p>
        </w:tc>
        <w:tc>
          <w:tcPr>
            <w:tcW w:w="6911" w:type="dxa"/>
            <w:gridSpan w:val="6"/>
            <w:vAlign w:val="center"/>
          </w:tcPr>
          <w:p w14:paraId="74149CB8">
            <w:pPr>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w:t>
            </w:r>
            <w:r>
              <w:rPr>
                <w:rFonts w:hint="eastAsia" w:ascii="方正仿宋_GB2312" w:hAnsi="方正仿宋_GB2312" w:eastAsia="方正仿宋_GB2312" w:cs="方正仿宋_GB2312"/>
                <w:color w:val="auto"/>
                <w:sz w:val="24"/>
                <w:highlight w:val="none"/>
              </w:rPr>
              <w:t xml:space="preserve">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p>
          <w:p w14:paraId="1D14713C">
            <w:pPr>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人民币（大写）：</w:t>
            </w:r>
            <w:r>
              <w:rPr>
                <w:rFonts w:hint="eastAsia" w:ascii="方正仿宋_GB2312" w:hAnsi="方正仿宋_GB2312" w:eastAsia="方正仿宋_GB2312" w:cs="方正仿宋_GB2312"/>
                <w:b/>
                <w:bCs/>
                <w:color w:val="auto"/>
                <w:sz w:val="24"/>
                <w:highlight w:val="none"/>
                <w:u w:val="single"/>
              </w:rPr>
              <w:t xml:space="preserve">     </w:t>
            </w:r>
            <w:r>
              <w:rPr>
                <w:rFonts w:hint="eastAsia" w:ascii="方正仿宋_GB2312" w:hAnsi="方正仿宋_GB2312" w:eastAsia="方正仿宋_GB2312" w:cs="方正仿宋_GB2312"/>
                <w:color w:val="auto"/>
                <w:sz w:val="24"/>
                <w:highlight w:val="none"/>
                <w:u w:val="single"/>
              </w:rPr>
              <w:t xml:space="preserve"> 仟     </w:t>
            </w:r>
            <w:r>
              <w:rPr>
                <w:rFonts w:hint="eastAsia" w:ascii="方正仿宋_GB2312" w:hAnsi="方正仿宋_GB2312" w:eastAsia="方正仿宋_GB2312" w:cs="方正仿宋_GB2312"/>
                <w:bCs/>
                <w:color w:val="auto"/>
                <w:sz w:val="24"/>
                <w:highlight w:val="none"/>
              </w:rPr>
              <w:t>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拾</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 万</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仟</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拾</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元</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角</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分</w:t>
            </w:r>
          </w:p>
        </w:tc>
      </w:tr>
    </w:tbl>
    <w:p w14:paraId="49E95446">
      <w:pPr>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备注：“投标总报价”数额应当与“开标一览表”中“投标总报价”数额一致。</w:t>
      </w:r>
    </w:p>
    <w:p w14:paraId="76F7CD2F">
      <w:pPr>
        <w:spacing w:line="480" w:lineRule="exact"/>
        <w:rPr>
          <w:rFonts w:hint="eastAsia" w:ascii="方正仿宋_GB2312" w:hAnsi="方正仿宋_GB2312" w:eastAsia="方正仿宋_GB2312" w:cs="方正仿宋_GB2312"/>
          <w:color w:val="auto"/>
          <w:highlight w:val="none"/>
        </w:rPr>
      </w:pPr>
    </w:p>
    <w:p w14:paraId="276799B5">
      <w:pPr>
        <w:rPr>
          <w:rFonts w:hint="eastAsia" w:ascii="方正仿宋_GB2312" w:hAnsi="方正仿宋_GB2312" w:eastAsia="方正仿宋_GB2312" w:cs="方正仿宋_GB2312"/>
          <w:color w:val="auto"/>
          <w:highlight w:val="none"/>
        </w:rPr>
      </w:pPr>
    </w:p>
    <w:p w14:paraId="1EB7FC7D">
      <w:pPr>
        <w:rPr>
          <w:rFonts w:hint="eastAsia" w:ascii="方正仿宋_GB2312" w:hAnsi="方正仿宋_GB2312" w:eastAsia="方正仿宋_GB2312" w:cs="方正仿宋_GB2312"/>
          <w:color w:val="auto"/>
          <w:highlight w:val="none"/>
        </w:rPr>
      </w:pPr>
    </w:p>
    <w:p w14:paraId="411818C7">
      <w:pPr>
        <w:rPr>
          <w:rFonts w:hint="eastAsia" w:ascii="方正仿宋_GB2312" w:hAnsi="方正仿宋_GB2312" w:eastAsia="方正仿宋_GB2312" w:cs="方正仿宋_GB2312"/>
          <w:color w:val="auto"/>
          <w:highlight w:val="none"/>
        </w:rPr>
      </w:pPr>
    </w:p>
    <w:p w14:paraId="0873F21E">
      <w:pPr>
        <w:rPr>
          <w:rFonts w:hint="eastAsia" w:ascii="方正仿宋_GB2312" w:hAnsi="方正仿宋_GB2312" w:eastAsia="方正仿宋_GB2312" w:cs="方正仿宋_GB2312"/>
          <w:color w:val="auto"/>
          <w:highlight w:val="none"/>
        </w:rPr>
      </w:pPr>
    </w:p>
    <w:p w14:paraId="4B21A3E5">
      <w:pPr>
        <w:rPr>
          <w:rFonts w:hint="eastAsia" w:ascii="方正仿宋_GB2312" w:hAnsi="方正仿宋_GB2312" w:eastAsia="方正仿宋_GB2312" w:cs="方正仿宋_GB2312"/>
          <w:color w:val="auto"/>
          <w:highlight w:val="none"/>
        </w:rPr>
      </w:pPr>
    </w:p>
    <w:p w14:paraId="2EDC0212">
      <w:pPr>
        <w:jc w:val="center"/>
        <w:rPr>
          <w:rFonts w:hint="eastAsia" w:ascii="方正仿宋_GB2312" w:hAnsi="方正仿宋_GB2312" w:eastAsia="方正仿宋_GB2312" w:cs="方正仿宋_GB2312"/>
          <w:bCs/>
          <w:color w:val="auto"/>
          <w:sz w:val="32"/>
          <w:szCs w:val="32"/>
          <w:highlight w:val="none"/>
        </w:rPr>
      </w:pPr>
    </w:p>
    <w:p w14:paraId="27CCCE05">
      <w:pPr>
        <w:jc w:val="center"/>
        <w:rPr>
          <w:rFonts w:hint="eastAsia" w:ascii="方正仿宋_GB2312" w:hAnsi="方正仿宋_GB2312" w:eastAsia="方正仿宋_GB2312" w:cs="方正仿宋_GB2312"/>
          <w:bCs/>
          <w:color w:val="auto"/>
          <w:sz w:val="32"/>
          <w:szCs w:val="32"/>
          <w:highlight w:val="none"/>
        </w:rPr>
      </w:pPr>
    </w:p>
    <w:p w14:paraId="10C34024">
      <w:pPr>
        <w:jc w:val="center"/>
        <w:rPr>
          <w:rFonts w:hint="eastAsia" w:ascii="方正仿宋_GB2312" w:hAnsi="方正仿宋_GB2312" w:eastAsia="方正仿宋_GB2312" w:cs="方正仿宋_GB2312"/>
          <w:bCs/>
          <w:color w:val="auto"/>
          <w:sz w:val="32"/>
          <w:szCs w:val="32"/>
          <w:highlight w:val="none"/>
        </w:rPr>
      </w:pPr>
    </w:p>
    <w:p w14:paraId="2B36EA8B">
      <w:pPr>
        <w:jc w:val="center"/>
        <w:rPr>
          <w:rFonts w:hint="eastAsia" w:ascii="方正仿宋_GB2312" w:hAnsi="方正仿宋_GB2312" w:eastAsia="方正仿宋_GB2312" w:cs="方正仿宋_GB2312"/>
          <w:bCs/>
          <w:color w:val="auto"/>
          <w:sz w:val="32"/>
          <w:szCs w:val="32"/>
          <w:highlight w:val="none"/>
        </w:rPr>
      </w:pPr>
    </w:p>
    <w:p w14:paraId="45FE88D4">
      <w:pPr>
        <w:jc w:val="center"/>
        <w:rPr>
          <w:rFonts w:hint="eastAsia" w:ascii="方正仿宋_GB2312" w:hAnsi="方正仿宋_GB2312" w:eastAsia="方正仿宋_GB2312" w:cs="方正仿宋_GB2312"/>
          <w:bCs/>
          <w:color w:val="auto"/>
          <w:sz w:val="32"/>
          <w:szCs w:val="32"/>
          <w:highlight w:val="none"/>
        </w:rPr>
      </w:pPr>
    </w:p>
    <w:p w14:paraId="09FE9B39">
      <w:pPr>
        <w:outlineLvl w:val="1"/>
        <w:rPr>
          <w:rFonts w:hint="eastAsia" w:ascii="方正仿宋_GB2312" w:hAnsi="方正仿宋_GB2312" w:eastAsia="方正仿宋_GB2312" w:cs="方正仿宋_GB2312"/>
          <w:bCs/>
          <w:color w:val="auto"/>
          <w:sz w:val="32"/>
          <w:szCs w:val="24"/>
          <w:highlight w:val="none"/>
        </w:rPr>
      </w:pPr>
      <w:bookmarkStart w:id="160" w:name="_Toc2747"/>
      <w:bookmarkStart w:id="161" w:name="_Toc17418"/>
      <w:bookmarkStart w:id="162" w:name="_Toc21129"/>
      <w:r>
        <w:rPr>
          <w:rFonts w:hint="eastAsia" w:ascii="方正仿宋_GB2312" w:hAnsi="方正仿宋_GB2312" w:eastAsia="方正仿宋_GB2312" w:cs="方正仿宋_GB2312"/>
          <w:bCs/>
          <w:color w:val="auto"/>
          <w:sz w:val="32"/>
          <w:szCs w:val="24"/>
          <w:highlight w:val="none"/>
        </w:rPr>
        <w:br w:type="page"/>
      </w:r>
      <w:r>
        <w:rPr>
          <w:rFonts w:hint="eastAsia" w:ascii="方正仿宋_GB2312" w:hAnsi="方正仿宋_GB2312" w:eastAsia="方正仿宋_GB2312" w:cs="方正仿宋_GB2312"/>
          <w:bCs/>
          <w:color w:val="auto"/>
          <w:sz w:val="32"/>
          <w:szCs w:val="24"/>
          <w:highlight w:val="none"/>
          <w:lang w:val="en-US" w:eastAsia="zh-CN"/>
        </w:rPr>
        <w:t>五</w:t>
      </w:r>
      <w:r>
        <w:rPr>
          <w:rFonts w:hint="eastAsia" w:ascii="方正仿宋_GB2312" w:hAnsi="方正仿宋_GB2312" w:eastAsia="方正仿宋_GB2312" w:cs="方正仿宋_GB2312"/>
          <w:bCs/>
          <w:color w:val="auto"/>
          <w:sz w:val="32"/>
          <w:szCs w:val="24"/>
          <w:highlight w:val="none"/>
        </w:rPr>
        <w:t>、中小企业或残疾人福利性单位声明函</w:t>
      </w:r>
      <w:bookmarkEnd w:id="160"/>
      <w:bookmarkEnd w:id="161"/>
      <w:bookmarkEnd w:id="162"/>
    </w:p>
    <w:p w14:paraId="5F41C812">
      <w:pPr>
        <w:jc w:val="center"/>
        <w:rPr>
          <w:rFonts w:hint="eastAsia" w:ascii="方正仿宋_GB2312" w:hAnsi="方正仿宋_GB2312" w:eastAsia="方正仿宋_GB2312" w:cs="方正仿宋_GB2312"/>
          <w:bCs/>
          <w:color w:val="auto"/>
          <w:sz w:val="32"/>
          <w:szCs w:val="32"/>
          <w:highlight w:val="none"/>
        </w:rPr>
      </w:pPr>
    </w:p>
    <w:p w14:paraId="3F91B707">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中小微企业声明函</w:t>
      </w:r>
    </w:p>
    <w:p w14:paraId="77816C04">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（货物类项目）</w:t>
      </w:r>
    </w:p>
    <w:p w14:paraId="0D01BCE9">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highlight w:val="none"/>
          <w:u w:val="single"/>
        </w:rPr>
        <w:t xml:space="preserve"> 单位名称  </w:t>
      </w:r>
      <w:r>
        <w:rPr>
          <w:rFonts w:hint="eastAsia" w:ascii="方正仿宋_GB2312" w:hAnsi="方正仿宋_GB2312" w:eastAsia="方正仿宋_GB2312" w:cs="方正仿宋_GB2312"/>
          <w:color w:val="auto"/>
          <w:sz w:val="24"/>
          <w:szCs w:val="24"/>
          <w:highlight w:val="none"/>
        </w:rPr>
        <w:t>的</w:t>
      </w:r>
      <w:r>
        <w:rPr>
          <w:rFonts w:hint="eastAsia" w:ascii="方正仿宋_GB2312" w:hAnsi="方正仿宋_GB2312" w:eastAsia="方正仿宋_GB2312" w:cs="方正仿宋_GB2312"/>
          <w:color w:val="auto"/>
          <w:sz w:val="24"/>
          <w:szCs w:val="24"/>
          <w:highlight w:val="none"/>
          <w:u w:val="single"/>
        </w:rPr>
        <w:t xml:space="preserve">（项目名称） </w:t>
      </w:r>
      <w:r>
        <w:rPr>
          <w:rFonts w:hint="eastAsia" w:ascii="方正仿宋_GB2312" w:hAnsi="方正仿宋_GB2312" w:eastAsia="方正仿宋_GB2312" w:cs="方正仿宋_GB2312"/>
          <w:color w:val="auto"/>
          <w:sz w:val="24"/>
          <w:szCs w:val="24"/>
          <w:highlight w:val="none"/>
        </w:rPr>
        <w:t>采购活动，提供的货物全部由符合政策要求的中小微企业制造。相关企业（含联合体中的中小微企业、签订采购包意向协议的中小微企业）的具体情况如下：</w:t>
      </w:r>
    </w:p>
    <w:p w14:paraId="053B607F">
      <w:pPr>
        <w:spacing w:line="480" w:lineRule="exact"/>
        <w:ind w:firstLine="480" w:firstLineChars="20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color w:val="auto"/>
          <w:sz w:val="24"/>
          <w:szCs w:val="24"/>
          <w:highlight w:val="none"/>
          <w:u w:val="single"/>
        </w:rPr>
        <w:t>（标的名称）</w:t>
      </w:r>
      <w:r>
        <w:rPr>
          <w:rFonts w:hint="eastAsia" w:ascii="方正仿宋_GB2312" w:hAnsi="方正仿宋_GB2312" w:eastAsia="方正仿宋_GB2312" w:cs="方正仿宋_GB2312"/>
          <w:i/>
          <w:color w:val="auto"/>
          <w:sz w:val="24"/>
          <w:szCs w:val="24"/>
          <w:highlight w:val="none"/>
        </w:rPr>
        <w:t>，</w:t>
      </w:r>
      <w:r>
        <w:rPr>
          <w:rFonts w:hint="eastAsia" w:ascii="方正仿宋_GB2312" w:hAnsi="方正仿宋_GB2312" w:eastAsia="方正仿宋_GB2312" w:cs="方正仿宋_GB2312"/>
          <w:color w:val="auto"/>
          <w:sz w:val="24"/>
          <w:szCs w:val="24"/>
          <w:highlight w:val="none"/>
        </w:rPr>
        <w:t>属于</w:t>
      </w:r>
      <w:r>
        <w:rPr>
          <w:rFonts w:hint="eastAsia" w:ascii="方正仿宋_GB2312" w:hAnsi="方正仿宋_GB2312" w:eastAsia="方正仿宋_GB2312" w:cs="方正仿宋_GB2312"/>
          <w:color w:val="auto"/>
          <w:sz w:val="24"/>
          <w:szCs w:val="24"/>
          <w:highlight w:val="none"/>
          <w:u w:val="single"/>
        </w:rPr>
        <w:t>（投标人填写招标文件中明确的所属行业）</w:t>
      </w:r>
      <w:r>
        <w:rPr>
          <w:rFonts w:hint="eastAsia" w:ascii="方正仿宋_GB2312" w:hAnsi="方正仿宋_GB2312" w:eastAsia="方正仿宋_GB2312" w:cs="方正仿宋_GB2312"/>
          <w:color w:val="auto"/>
          <w:sz w:val="24"/>
          <w:szCs w:val="24"/>
          <w:highlight w:val="none"/>
        </w:rPr>
        <w:t>行业；投标产品制造商为</w:t>
      </w:r>
      <w:r>
        <w:rPr>
          <w:rFonts w:hint="eastAsia" w:ascii="方正仿宋_GB2312" w:hAnsi="方正仿宋_GB2312" w:eastAsia="方正仿宋_GB2312" w:cs="方正仿宋_GB2312"/>
          <w:color w:val="auto"/>
          <w:sz w:val="24"/>
          <w:szCs w:val="24"/>
          <w:highlight w:val="none"/>
          <w:u w:val="single"/>
        </w:rPr>
        <w:t>（企业名称）</w:t>
      </w:r>
      <w:r>
        <w:rPr>
          <w:rFonts w:hint="eastAsia" w:ascii="方正仿宋_GB2312" w:hAnsi="方正仿宋_GB2312" w:eastAsia="方正仿宋_GB2312" w:cs="方正仿宋_GB2312"/>
          <w:color w:val="auto"/>
          <w:sz w:val="24"/>
          <w:szCs w:val="24"/>
          <w:highlight w:val="none"/>
        </w:rPr>
        <w:t>，从业人员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万元，属于</w:t>
      </w:r>
      <w:r>
        <w:rPr>
          <w:rFonts w:hint="eastAsia" w:ascii="方正仿宋_GB2312" w:hAnsi="方正仿宋_GB2312" w:eastAsia="方正仿宋_GB2312" w:cs="方正仿宋_GB2312"/>
          <w:color w:val="auto"/>
          <w:sz w:val="24"/>
          <w:szCs w:val="24"/>
          <w:highlight w:val="none"/>
          <w:u w:val="single"/>
        </w:rPr>
        <w:t>（□中型企业 □小型企业 □微型企业）；</w:t>
      </w:r>
    </w:p>
    <w:p w14:paraId="5CC0D15F">
      <w:pPr>
        <w:spacing w:line="480" w:lineRule="exact"/>
        <w:ind w:firstLine="480" w:firstLineChars="20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u w:val="single"/>
        </w:rPr>
        <w:t>（标的名称）</w:t>
      </w:r>
      <w:r>
        <w:rPr>
          <w:rFonts w:hint="eastAsia" w:ascii="方正仿宋_GB2312" w:hAnsi="方正仿宋_GB2312" w:eastAsia="方正仿宋_GB2312" w:cs="方正仿宋_GB2312"/>
          <w:i/>
          <w:color w:val="auto"/>
          <w:sz w:val="24"/>
          <w:szCs w:val="24"/>
          <w:highlight w:val="none"/>
        </w:rPr>
        <w:t>，</w:t>
      </w:r>
      <w:r>
        <w:rPr>
          <w:rFonts w:hint="eastAsia" w:ascii="方正仿宋_GB2312" w:hAnsi="方正仿宋_GB2312" w:eastAsia="方正仿宋_GB2312" w:cs="方正仿宋_GB2312"/>
          <w:color w:val="auto"/>
          <w:sz w:val="24"/>
          <w:szCs w:val="24"/>
          <w:highlight w:val="none"/>
        </w:rPr>
        <w:t>属于</w:t>
      </w:r>
      <w:r>
        <w:rPr>
          <w:rFonts w:hint="eastAsia" w:ascii="方正仿宋_GB2312" w:hAnsi="方正仿宋_GB2312" w:eastAsia="方正仿宋_GB2312" w:cs="方正仿宋_GB2312"/>
          <w:color w:val="auto"/>
          <w:sz w:val="24"/>
          <w:szCs w:val="24"/>
          <w:highlight w:val="none"/>
          <w:u w:val="single"/>
        </w:rPr>
        <w:t>（投标人填写招标文件中明确的所属行业）</w:t>
      </w:r>
      <w:r>
        <w:rPr>
          <w:rFonts w:hint="eastAsia" w:ascii="方正仿宋_GB2312" w:hAnsi="方正仿宋_GB2312" w:eastAsia="方正仿宋_GB2312" w:cs="方正仿宋_GB2312"/>
          <w:color w:val="auto"/>
          <w:sz w:val="24"/>
          <w:szCs w:val="24"/>
          <w:highlight w:val="none"/>
        </w:rPr>
        <w:t>行业；投标产品制造商为</w:t>
      </w:r>
      <w:r>
        <w:rPr>
          <w:rFonts w:hint="eastAsia" w:ascii="方正仿宋_GB2312" w:hAnsi="方正仿宋_GB2312" w:eastAsia="方正仿宋_GB2312" w:cs="方正仿宋_GB2312"/>
          <w:color w:val="auto"/>
          <w:sz w:val="24"/>
          <w:szCs w:val="24"/>
          <w:highlight w:val="none"/>
          <w:u w:val="single"/>
        </w:rPr>
        <w:t>（企业名称）</w:t>
      </w:r>
      <w:r>
        <w:rPr>
          <w:rFonts w:hint="eastAsia" w:ascii="方正仿宋_GB2312" w:hAnsi="方正仿宋_GB2312" w:eastAsia="方正仿宋_GB2312" w:cs="方正仿宋_GB2312"/>
          <w:color w:val="auto"/>
          <w:sz w:val="24"/>
          <w:szCs w:val="24"/>
          <w:highlight w:val="none"/>
        </w:rPr>
        <w:t>，从业人员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万元，属于</w:t>
      </w:r>
      <w:r>
        <w:rPr>
          <w:rFonts w:hint="eastAsia" w:ascii="方正仿宋_GB2312" w:hAnsi="方正仿宋_GB2312" w:eastAsia="方正仿宋_GB2312" w:cs="方正仿宋_GB2312"/>
          <w:color w:val="auto"/>
          <w:sz w:val="24"/>
          <w:szCs w:val="24"/>
          <w:highlight w:val="none"/>
          <w:u w:val="single"/>
        </w:rPr>
        <w:t>（□中型企业 □小型企业 □微型企业）；</w:t>
      </w:r>
    </w:p>
    <w:p w14:paraId="7FC5E9BA">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p w14:paraId="7BF30A43">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以上企业，不属于大企业的分支机构，不存在控股股东为大企业的情形，也不存在与大企业的负责人为同一人的情形。</w:t>
      </w:r>
    </w:p>
    <w:p w14:paraId="40A35637">
      <w:pPr>
        <w:spacing w:line="48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本企业对上述声明内容的真实性负责。如有虚假，将依法承担相应责任</w:t>
      </w:r>
    </w:p>
    <w:p w14:paraId="5F5F3038">
      <w:pPr>
        <w:spacing w:line="480" w:lineRule="exact"/>
        <w:ind w:right="720"/>
        <w:rPr>
          <w:rFonts w:hint="eastAsia" w:ascii="方正仿宋_GB2312" w:hAnsi="方正仿宋_GB2312" w:eastAsia="方正仿宋_GB2312" w:cs="方正仿宋_GB2312"/>
          <w:color w:val="auto"/>
          <w:sz w:val="24"/>
          <w:szCs w:val="24"/>
          <w:highlight w:val="none"/>
        </w:rPr>
      </w:pPr>
    </w:p>
    <w:p w14:paraId="0C1D04D2">
      <w:pPr>
        <w:spacing w:line="400" w:lineRule="exact"/>
        <w:ind w:right="180" w:firstLine="360" w:firstLineChars="150"/>
        <w:jc w:val="righ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企业名称（加盖公章）：</w:t>
      </w:r>
    </w:p>
    <w:p w14:paraId="2AE00D93">
      <w:pPr>
        <w:spacing w:line="400" w:lineRule="exact"/>
        <w:ind w:right="180" w:firstLine="360" w:firstLineChars="15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日  期：</w:t>
      </w:r>
    </w:p>
    <w:p w14:paraId="031217C4">
      <w:pPr>
        <w:spacing w:line="400" w:lineRule="exact"/>
        <w:ind w:firstLine="480" w:firstLineChars="200"/>
        <w:rPr>
          <w:rFonts w:hint="eastAsia" w:ascii="方正仿宋_GB2312" w:hAnsi="方正仿宋_GB2312" w:eastAsia="方正仿宋_GB2312" w:cs="方正仿宋_GB2312"/>
          <w:color w:val="auto"/>
          <w:sz w:val="24"/>
          <w:szCs w:val="24"/>
          <w:highlight w:val="none"/>
        </w:rPr>
      </w:pPr>
    </w:p>
    <w:p w14:paraId="304EE241">
      <w:pPr>
        <w:spacing w:line="40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备注：1.从业人员、营业收入、资产总额填报上一年度数据，无上一年度数据的新成立企业可不填报。</w:t>
      </w:r>
    </w:p>
    <w:p w14:paraId="03F4B836">
      <w:pPr>
        <w:spacing w:line="4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2.符合报价折扣情形的请将此函</w:t>
      </w:r>
      <w:bookmarkStart w:id="163" w:name="_Hlk223009288"/>
      <w:r>
        <w:rPr>
          <w:rFonts w:hint="eastAsia" w:ascii="仿宋" w:hAnsi="仿宋" w:eastAsia="仿宋" w:cs="Times New Roman"/>
          <w:color w:val="auto"/>
          <w:sz w:val="24"/>
          <w:szCs w:val="24"/>
          <w:highlight w:val="none"/>
        </w:rPr>
        <w:t>编入投标文件中</w:t>
      </w:r>
      <w:bookmarkEnd w:id="163"/>
      <w:r>
        <w:rPr>
          <w:rFonts w:hint="eastAsia" w:ascii="仿宋" w:hAnsi="仿宋" w:eastAsia="仿宋" w:cs="Times New Roman"/>
          <w:color w:val="auto"/>
          <w:sz w:val="24"/>
          <w:szCs w:val="24"/>
          <w:highlight w:val="none"/>
        </w:rPr>
        <w:t>。</w:t>
      </w:r>
    </w:p>
    <w:p w14:paraId="74678131">
      <w:pPr>
        <w:spacing w:line="400" w:lineRule="exact"/>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3.对照《工业和信息化部、国家统计局、国家发展和改革委员会、财政部关于印发中小企业划型标准规定的通知》（工信部联企业〔2011〕300号）的规定，投标人自行勾选制造商的企业规模类型。</w:t>
      </w:r>
    </w:p>
    <w:p w14:paraId="7AD1EC65">
      <w:pPr>
        <w:spacing w:line="400" w:lineRule="exact"/>
        <w:ind w:firstLine="480" w:firstLineChars="200"/>
        <w:jc w:val="left"/>
        <w:rPr>
          <w:rFonts w:hint="eastAsia" w:ascii="方正仿宋_GB2312" w:hAnsi="方正仿宋_GB2312" w:eastAsia="方正仿宋_GB2312" w:cs="方正仿宋_GB2312"/>
          <w:color w:val="auto"/>
          <w:sz w:val="24"/>
          <w:szCs w:val="24"/>
          <w:highlight w:val="none"/>
        </w:rPr>
      </w:pPr>
    </w:p>
    <w:p w14:paraId="41A01A18">
      <w:pPr>
        <w:spacing w:line="400" w:lineRule="exact"/>
        <w:ind w:firstLine="480" w:firstLineChars="200"/>
        <w:rPr>
          <w:rFonts w:hint="eastAsia" w:ascii="方正仿宋_GB2312" w:hAnsi="方正仿宋_GB2312" w:eastAsia="方正仿宋_GB2312" w:cs="方正仿宋_GB2312"/>
          <w:color w:val="auto"/>
          <w:sz w:val="22"/>
          <w:szCs w:val="21"/>
          <w:highlight w:val="none"/>
        </w:rPr>
      </w:pPr>
      <w:r>
        <w:rPr>
          <w:rFonts w:hint="eastAsia" w:ascii="方正仿宋_GB2312" w:hAnsi="方正仿宋_GB2312" w:eastAsia="方正仿宋_GB2312" w:cs="方正仿宋_GB2312"/>
          <w:color w:val="auto"/>
          <w:sz w:val="24"/>
          <w:szCs w:val="24"/>
          <w:highlight w:val="none"/>
        </w:rPr>
        <w:br w:type="page"/>
      </w:r>
    </w:p>
    <w:p w14:paraId="64685AFA">
      <w:pPr>
        <w:spacing w:before="151" w:after="151" w:line="600" w:lineRule="exact"/>
        <w:rPr>
          <w:rFonts w:hint="eastAsia" w:ascii="方正仿宋_GB2312" w:hAnsi="方正仿宋_GB2312" w:eastAsia="方正仿宋_GB2312" w:cs="方正仿宋_GB2312"/>
          <w:b/>
          <w:bCs/>
          <w:color w:val="auto"/>
          <w:sz w:val="32"/>
          <w:szCs w:val="32"/>
          <w:highlight w:val="none"/>
        </w:rPr>
      </w:pPr>
    </w:p>
    <w:p w14:paraId="05598D57">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残疾人福利性单位声明函</w:t>
      </w:r>
    </w:p>
    <w:p w14:paraId="02DFD4B0">
      <w:pPr>
        <w:spacing w:line="588" w:lineRule="exact"/>
        <w:rPr>
          <w:rFonts w:hint="eastAsia" w:ascii="方正仿宋_GB2312" w:hAnsi="方正仿宋_GB2312" w:eastAsia="方正仿宋_GB2312" w:cs="方正仿宋_GB2312"/>
          <w:b/>
          <w:color w:val="auto"/>
          <w:spacing w:val="6"/>
          <w:sz w:val="30"/>
          <w:szCs w:val="30"/>
          <w:highlight w:val="none"/>
        </w:rPr>
      </w:pPr>
    </w:p>
    <w:p w14:paraId="7F18DEC0">
      <w:pPr>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highlight w:val="none"/>
          <w:u w:val="single"/>
        </w:rPr>
        <w:t>（</w:t>
      </w:r>
      <w:r>
        <w:rPr>
          <w:rFonts w:hint="eastAsia" w:ascii="方正仿宋_GB2312" w:hAnsi="方正仿宋_GB2312" w:eastAsia="方正仿宋_GB2312" w:cs="方正仿宋_GB2312"/>
          <w:color w:val="auto"/>
          <w:sz w:val="24"/>
          <w:szCs w:val="24"/>
          <w:highlight w:val="none"/>
          <w:u w:val="single"/>
        </w:rPr>
        <w:t>单位名称）</w:t>
      </w:r>
      <w:r>
        <w:rPr>
          <w:rFonts w:hint="eastAsia" w:ascii="方正仿宋_GB2312" w:hAnsi="方正仿宋_GB2312" w:eastAsia="方正仿宋_GB2312" w:cs="方正仿宋_GB2312"/>
          <w:color w:val="auto"/>
          <w:sz w:val="24"/>
          <w:highlight w:val="none"/>
        </w:rPr>
        <w:t>的</w:t>
      </w:r>
      <w:r>
        <w:rPr>
          <w:rFonts w:hint="eastAsia" w:ascii="方正仿宋_GB2312" w:hAnsi="方正仿宋_GB2312" w:eastAsia="方正仿宋_GB2312" w:cs="方正仿宋_GB2312"/>
          <w:color w:val="auto"/>
          <w:sz w:val="24"/>
          <w:highlight w:val="none"/>
          <w:u w:val="single"/>
        </w:rPr>
        <w:t xml:space="preserve">（项目名称） </w:t>
      </w:r>
      <w:r>
        <w:rPr>
          <w:rFonts w:hint="eastAsia" w:ascii="方正仿宋_GB2312" w:hAnsi="方正仿宋_GB2312" w:eastAsia="方正仿宋_GB2312" w:cs="方正仿宋_GB2312"/>
          <w:color w:val="auto"/>
          <w:sz w:val="24"/>
          <w:highlight w:val="none"/>
        </w:rPr>
        <w:t>采购活动提供本单位制造的货物（由本单位承担工程/提供服务），或者提供其他残疾人福利性单位制造的货物（不包括使用非残疾人福利性单位注册商标的货物）。</w:t>
      </w:r>
    </w:p>
    <w:p w14:paraId="539072EE">
      <w:pPr>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本单位对上述声明的真实性负责。如有虚假，将依法承担相应责任。</w:t>
      </w:r>
    </w:p>
    <w:p w14:paraId="7AF6B1A5">
      <w:pPr>
        <w:spacing w:line="500" w:lineRule="exact"/>
        <w:ind w:firstLine="3810"/>
        <w:rPr>
          <w:rFonts w:hint="eastAsia" w:ascii="方正仿宋_GB2312" w:hAnsi="方正仿宋_GB2312" w:eastAsia="方正仿宋_GB2312" w:cs="方正仿宋_GB2312"/>
          <w:color w:val="auto"/>
          <w:spacing w:val="6"/>
          <w:sz w:val="24"/>
          <w:szCs w:val="24"/>
          <w:highlight w:val="none"/>
        </w:rPr>
      </w:pPr>
    </w:p>
    <w:p w14:paraId="406555A3">
      <w:pPr>
        <w:spacing w:line="500" w:lineRule="exact"/>
        <w:ind w:firstLine="3629"/>
        <w:jc w:val="left"/>
        <w:rPr>
          <w:rFonts w:hint="eastAsia" w:ascii="方正仿宋_GB2312" w:hAnsi="方正仿宋_GB2312" w:eastAsia="方正仿宋_GB2312" w:cs="方正仿宋_GB2312"/>
          <w:color w:val="auto"/>
          <w:sz w:val="24"/>
          <w:highlight w:val="none"/>
        </w:rPr>
      </w:pPr>
    </w:p>
    <w:p w14:paraId="581EEAA8">
      <w:pPr>
        <w:spacing w:line="500" w:lineRule="exact"/>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单位名称：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szCs w:val="24"/>
          <w:highlight w:val="none"/>
        </w:rPr>
        <w:t>盖公章</w:t>
      </w:r>
      <w:r>
        <w:rPr>
          <w:rFonts w:hint="eastAsia" w:ascii="方正仿宋_GB2312" w:hAnsi="方正仿宋_GB2312" w:eastAsia="方正仿宋_GB2312" w:cs="方正仿宋_GB2312"/>
          <w:color w:val="auto"/>
          <w:sz w:val="24"/>
          <w:highlight w:val="none"/>
        </w:rPr>
        <w:t>）</w:t>
      </w:r>
    </w:p>
    <w:p w14:paraId="207EBF92">
      <w:pPr>
        <w:spacing w:line="500" w:lineRule="exact"/>
        <w:ind w:firstLine="480"/>
        <w:jc w:val="lef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日期：  年  月  日</w:t>
      </w:r>
    </w:p>
    <w:p w14:paraId="43F5F67F">
      <w:pPr>
        <w:tabs>
          <w:tab w:val="left" w:pos="4860"/>
        </w:tabs>
        <w:spacing w:line="588" w:lineRule="exact"/>
        <w:ind w:right="1560" w:firstLine="480"/>
        <w:jc w:val="center"/>
        <w:rPr>
          <w:rFonts w:hint="eastAsia" w:ascii="方正仿宋_GB2312" w:hAnsi="方正仿宋_GB2312" w:eastAsia="方正仿宋_GB2312" w:cs="方正仿宋_GB2312"/>
          <w:color w:val="auto"/>
          <w:sz w:val="24"/>
          <w:szCs w:val="24"/>
          <w:highlight w:val="none"/>
        </w:rPr>
      </w:pPr>
    </w:p>
    <w:p w14:paraId="0DE2953A">
      <w:pPr>
        <w:spacing w:line="500" w:lineRule="exact"/>
        <w:ind w:left="357"/>
        <w:rPr>
          <w:rFonts w:hint="eastAsia" w:ascii="方正仿宋_GB2312" w:hAnsi="方正仿宋_GB2312" w:eastAsia="方正仿宋_GB2312" w:cs="方正仿宋_GB2312"/>
          <w:color w:val="auto"/>
          <w:sz w:val="24"/>
          <w:szCs w:val="24"/>
          <w:highlight w:val="none"/>
        </w:rPr>
      </w:pPr>
    </w:p>
    <w:p w14:paraId="4E33658B">
      <w:pPr>
        <w:spacing w:line="480" w:lineRule="exact"/>
        <w:ind w:firstLine="44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备注：1.非残疾人福利性单位不需提供此函。</w:t>
      </w:r>
    </w:p>
    <w:p w14:paraId="6C0A158A">
      <w:pPr>
        <w:spacing w:line="480" w:lineRule="exact"/>
        <w:ind w:firstLine="44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2.符合报价折扣情形的，请将此函填编入投标文件中。</w:t>
      </w:r>
    </w:p>
    <w:p w14:paraId="5BACD4FA">
      <w:pPr>
        <w:spacing w:line="480" w:lineRule="exact"/>
        <w:ind w:firstLine="442"/>
        <w:rPr>
          <w:rFonts w:hint="eastAsia" w:ascii="方正仿宋_GB2312" w:hAnsi="方正仿宋_GB2312" w:eastAsia="方正仿宋_GB2312" w:cs="方正仿宋_GB2312"/>
          <w:color w:val="auto"/>
          <w:sz w:val="24"/>
          <w:szCs w:val="24"/>
          <w:highlight w:val="none"/>
        </w:rPr>
      </w:pPr>
    </w:p>
    <w:p w14:paraId="09318B7F">
      <w:pPr>
        <w:spacing w:line="480" w:lineRule="exact"/>
        <w:ind w:firstLine="442"/>
        <w:rPr>
          <w:rFonts w:hint="eastAsia" w:ascii="方正仿宋_GB2312" w:hAnsi="方正仿宋_GB2312" w:eastAsia="方正仿宋_GB2312" w:cs="方正仿宋_GB2312"/>
          <w:color w:val="auto"/>
          <w:sz w:val="24"/>
          <w:szCs w:val="24"/>
          <w:highlight w:val="none"/>
        </w:rPr>
      </w:pPr>
    </w:p>
    <w:p w14:paraId="35E842DF">
      <w:pPr>
        <w:spacing w:line="480" w:lineRule="exact"/>
        <w:ind w:firstLine="442"/>
        <w:rPr>
          <w:rFonts w:hint="eastAsia" w:ascii="方正仿宋_GB2312" w:hAnsi="方正仿宋_GB2312" w:eastAsia="方正仿宋_GB2312" w:cs="方正仿宋_GB2312"/>
          <w:color w:val="auto"/>
          <w:sz w:val="24"/>
          <w:szCs w:val="24"/>
          <w:highlight w:val="none"/>
        </w:rPr>
      </w:pPr>
    </w:p>
    <w:p w14:paraId="69ABFB97">
      <w:pPr>
        <w:spacing w:line="480" w:lineRule="exact"/>
        <w:ind w:firstLine="442"/>
        <w:rPr>
          <w:rFonts w:hint="eastAsia" w:ascii="方正仿宋_GB2312" w:hAnsi="方正仿宋_GB2312" w:eastAsia="方正仿宋_GB2312" w:cs="方正仿宋_GB2312"/>
          <w:color w:val="auto"/>
          <w:sz w:val="24"/>
          <w:szCs w:val="24"/>
          <w:highlight w:val="none"/>
        </w:rPr>
      </w:pPr>
    </w:p>
    <w:p w14:paraId="277BFFD7">
      <w:pPr>
        <w:spacing w:line="480" w:lineRule="exact"/>
        <w:ind w:firstLine="442"/>
        <w:rPr>
          <w:rFonts w:hint="eastAsia" w:ascii="方正仿宋_GB2312" w:hAnsi="方正仿宋_GB2312" w:eastAsia="方正仿宋_GB2312" w:cs="方正仿宋_GB2312"/>
          <w:color w:val="auto"/>
          <w:sz w:val="24"/>
          <w:szCs w:val="24"/>
          <w:highlight w:val="none"/>
        </w:rPr>
      </w:pPr>
    </w:p>
    <w:p w14:paraId="6E21A2F2">
      <w:pPr>
        <w:spacing w:line="480" w:lineRule="exact"/>
        <w:rPr>
          <w:rFonts w:hint="eastAsia" w:ascii="方正仿宋_GB2312" w:hAnsi="方正仿宋_GB2312" w:eastAsia="方正仿宋_GB2312" w:cs="方正仿宋_GB2312"/>
          <w:color w:val="auto"/>
          <w:sz w:val="24"/>
          <w:szCs w:val="24"/>
          <w:highlight w:val="none"/>
        </w:rPr>
      </w:pPr>
    </w:p>
    <w:p w14:paraId="3FEF3C2D">
      <w:pPr>
        <w:spacing w:line="480" w:lineRule="exact"/>
        <w:ind w:firstLine="442"/>
        <w:rPr>
          <w:rFonts w:hint="eastAsia" w:ascii="方正仿宋_GB2312" w:hAnsi="方正仿宋_GB2312" w:eastAsia="方正仿宋_GB2312" w:cs="方正仿宋_GB2312"/>
          <w:color w:val="auto"/>
          <w:sz w:val="24"/>
          <w:szCs w:val="24"/>
          <w:highlight w:val="none"/>
        </w:rPr>
      </w:pPr>
    </w:p>
    <w:p w14:paraId="6F24AEE6">
      <w:pPr>
        <w:spacing w:line="480" w:lineRule="exact"/>
        <w:ind w:firstLine="442"/>
        <w:rPr>
          <w:rFonts w:hint="eastAsia" w:ascii="方正仿宋_GB2312" w:hAnsi="方正仿宋_GB2312" w:eastAsia="方正仿宋_GB2312" w:cs="方正仿宋_GB2312"/>
          <w:color w:val="auto"/>
          <w:sz w:val="24"/>
          <w:szCs w:val="24"/>
          <w:highlight w:val="none"/>
        </w:rPr>
      </w:pPr>
    </w:p>
    <w:p w14:paraId="5C52DC95">
      <w:pPr>
        <w:spacing w:line="480" w:lineRule="exact"/>
        <w:ind w:firstLine="442"/>
        <w:rPr>
          <w:rFonts w:hint="eastAsia" w:ascii="方正仿宋_GB2312" w:hAnsi="方正仿宋_GB2312" w:eastAsia="方正仿宋_GB2312" w:cs="方正仿宋_GB2312"/>
          <w:color w:val="auto"/>
          <w:sz w:val="24"/>
          <w:szCs w:val="24"/>
          <w:highlight w:val="none"/>
        </w:rPr>
      </w:pPr>
    </w:p>
    <w:p w14:paraId="1221CCF6">
      <w:pPr>
        <w:spacing w:line="480" w:lineRule="exact"/>
        <w:rPr>
          <w:rFonts w:hint="eastAsia" w:ascii="方正仿宋_GB2312" w:hAnsi="方正仿宋_GB2312" w:eastAsia="方正仿宋_GB2312" w:cs="方正仿宋_GB2312"/>
          <w:color w:val="auto"/>
          <w:sz w:val="24"/>
          <w:szCs w:val="24"/>
          <w:highlight w:val="none"/>
        </w:rPr>
      </w:pPr>
    </w:p>
    <w:p w14:paraId="6E28AD1E">
      <w:pPr>
        <w:outlineLvl w:val="1"/>
        <w:rPr>
          <w:rFonts w:hint="eastAsia" w:ascii="方正仿宋_GB2312" w:hAnsi="方正仿宋_GB2312" w:eastAsia="方正仿宋_GB2312" w:cs="方正仿宋_GB2312"/>
          <w:bCs/>
          <w:color w:val="auto"/>
          <w:sz w:val="32"/>
          <w:szCs w:val="24"/>
          <w:highlight w:val="none"/>
          <w:lang w:val="en-US" w:eastAsia="zh-CN"/>
        </w:rPr>
      </w:pPr>
      <w:r>
        <w:rPr>
          <w:rFonts w:hint="eastAsia" w:ascii="方正仿宋_GB2312" w:hAnsi="方正仿宋_GB2312" w:eastAsia="方正仿宋_GB2312" w:cs="方正仿宋_GB2312"/>
          <w:bCs/>
          <w:color w:val="auto"/>
          <w:sz w:val="32"/>
          <w:szCs w:val="24"/>
          <w:highlight w:val="none"/>
          <w:lang w:val="en-US" w:eastAsia="zh-CN"/>
        </w:rPr>
        <w:t>六、技术响应偏离表（技术参数响应）</w:t>
      </w:r>
    </w:p>
    <w:tbl>
      <w:tblPr>
        <w:tblStyle w:val="55"/>
        <w:tblW w:w="0" w:type="auto"/>
        <w:tblInd w:w="-117" w:type="dxa"/>
        <w:tblLayout w:type="autofit"/>
        <w:tblCellMar>
          <w:top w:w="0" w:type="dxa"/>
          <w:left w:w="108" w:type="dxa"/>
          <w:bottom w:w="0" w:type="dxa"/>
          <w:right w:w="108" w:type="dxa"/>
        </w:tblCellMar>
      </w:tblPr>
      <w:tblGrid>
        <w:gridCol w:w="2791"/>
        <w:gridCol w:w="2386"/>
        <w:gridCol w:w="1994"/>
        <w:gridCol w:w="2223"/>
      </w:tblGrid>
      <w:tr w14:paraId="3EEA30E5">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vAlign w:val="center"/>
          </w:tcPr>
          <w:p w14:paraId="1BD7DFF5">
            <w:pPr>
              <w:spacing w:before="100"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招标文件内容</w:t>
            </w:r>
          </w:p>
        </w:tc>
        <w:tc>
          <w:tcPr>
            <w:tcW w:w="2386" w:type="dxa"/>
            <w:tcBorders>
              <w:top w:val="single" w:color="000000" w:sz="8" w:space="0"/>
              <w:left w:val="nil"/>
              <w:bottom w:val="single" w:color="000000" w:sz="8" w:space="0"/>
              <w:right w:val="single" w:color="000000" w:sz="8" w:space="0"/>
            </w:tcBorders>
            <w:vAlign w:val="center"/>
          </w:tcPr>
          <w:p w14:paraId="6597D94C">
            <w:pPr>
              <w:spacing w:before="100"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投标文件内容</w:t>
            </w:r>
          </w:p>
        </w:tc>
        <w:tc>
          <w:tcPr>
            <w:tcW w:w="1994" w:type="dxa"/>
            <w:tcBorders>
              <w:top w:val="single" w:color="000000" w:sz="8" w:space="0"/>
              <w:left w:val="nil"/>
              <w:bottom w:val="single" w:color="000000" w:sz="8" w:space="0"/>
              <w:right w:val="single" w:color="000000" w:sz="8" w:space="0"/>
            </w:tcBorders>
            <w:vAlign w:val="center"/>
          </w:tcPr>
          <w:p w14:paraId="0BEEAD32">
            <w:pPr>
              <w:spacing w:before="100" w:line="400" w:lineRule="exact"/>
              <w:jc w:val="center"/>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t>偏离情况</w:t>
            </w:r>
          </w:p>
          <w:p w14:paraId="45AB6C35">
            <w:pPr>
              <w:spacing w:before="100" w:line="400" w:lineRule="exact"/>
              <w:jc w:val="center"/>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t>（</w:t>
            </w:r>
            <w:r>
              <w:rPr>
                <w:rFonts w:hint="eastAsia" w:ascii="方正仿宋_GB2312" w:hAnsi="方正仿宋_GB2312" w:eastAsia="方正仿宋_GB2312" w:cs="方正仿宋_GB2312"/>
                <w:b/>
                <w:color w:val="auto"/>
                <w:sz w:val="24"/>
                <w:highlight w:val="none"/>
              </w:rPr>
              <w:t>正偏离、负偏离、无偏离</w:t>
            </w:r>
            <w:r>
              <w:rPr>
                <w:rFonts w:hint="eastAsia" w:ascii="方正仿宋_GB2312" w:hAnsi="方正仿宋_GB2312" w:eastAsia="方正仿宋_GB2312" w:cs="方正仿宋_GB2312"/>
                <w:color w:val="auto"/>
                <w:sz w:val="28"/>
                <w:highlight w:val="none"/>
              </w:rPr>
              <w:t>）</w:t>
            </w:r>
          </w:p>
        </w:tc>
        <w:tc>
          <w:tcPr>
            <w:tcW w:w="2223" w:type="dxa"/>
            <w:tcBorders>
              <w:top w:val="single" w:color="000000" w:sz="8" w:space="0"/>
              <w:left w:val="nil"/>
              <w:bottom w:val="single" w:color="000000" w:sz="8" w:space="0"/>
              <w:right w:val="single" w:color="000000" w:sz="8" w:space="0"/>
            </w:tcBorders>
            <w:vAlign w:val="center"/>
          </w:tcPr>
          <w:p w14:paraId="7839315A">
            <w:pPr>
              <w:spacing w:before="100" w:line="559" w:lineRule="atLeas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highlight w:val="none"/>
              </w:rPr>
              <w:t>偏离内容及说明</w:t>
            </w:r>
          </w:p>
        </w:tc>
      </w:tr>
      <w:tr w14:paraId="2E874D7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EAEFAF7">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4447FE25">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34642DC">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0062DD1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266A798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63028331">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560FF24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3DBFBA4E">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7B85219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0F6144B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10DB5C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53E844CC">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796E07A0">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4025C249">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43DA6F1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09474D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D32BC7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5428D739">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52A751A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5C7C1E3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036AC165">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125F0D4D">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E951CA1">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4F24A419">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0FC8A67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AEAF811">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3C7271B">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73269FE1">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1DEE0AA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15D8E7A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D729725">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140BC8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5A92984E">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7C1B4E6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22FCDFD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F51FFD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34E598D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010640A7">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5CFF859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7394CC2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B4BEB1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6E35BC9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0ED9171">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605DA206">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334DA4E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343FBED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31AC23EF">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994" w:type="dxa"/>
            <w:tcBorders>
              <w:top w:val="nil"/>
              <w:left w:val="nil"/>
              <w:bottom w:val="single" w:color="000000" w:sz="8" w:space="0"/>
              <w:right w:val="single" w:color="000000" w:sz="8" w:space="0"/>
            </w:tcBorders>
            <w:vAlign w:val="center"/>
          </w:tcPr>
          <w:p w14:paraId="17BEC6E7">
            <w:pPr>
              <w:spacing w:line="559" w:lineRule="atLeast"/>
              <w:jc w:val="center"/>
              <w:rPr>
                <w:rFonts w:hint="eastAsia" w:ascii="方正仿宋_GB2312" w:hAnsi="方正仿宋_GB2312" w:eastAsia="方正仿宋_GB2312" w:cs="方正仿宋_GB2312"/>
                <w:color w:val="auto"/>
                <w:sz w:val="24"/>
                <w:highlight w:val="none"/>
              </w:rPr>
            </w:pPr>
          </w:p>
        </w:tc>
        <w:tc>
          <w:tcPr>
            <w:tcW w:w="2223" w:type="dxa"/>
            <w:tcBorders>
              <w:top w:val="nil"/>
              <w:left w:val="nil"/>
              <w:bottom w:val="single" w:color="000000" w:sz="8" w:space="0"/>
              <w:right w:val="single" w:color="000000" w:sz="8" w:space="0"/>
            </w:tcBorders>
            <w:vAlign w:val="center"/>
          </w:tcPr>
          <w:p w14:paraId="42B61DCB">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bl>
    <w:p w14:paraId="24BBB266">
      <w:pPr>
        <w:spacing w:line="559" w:lineRule="atLeast"/>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单位名称：</w:t>
      </w:r>
      <w:r>
        <w:rPr>
          <w:rFonts w:hint="eastAsia" w:ascii="方正仿宋_GB2312" w:hAnsi="方正仿宋_GB2312" w:eastAsia="方正仿宋_GB2312" w:cs="方正仿宋_GB2312"/>
          <w:color w:val="auto"/>
          <w:sz w:val="24"/>
          <w:highlight w:val="none"/>
          <w:u w:val="single"/>
        </w:rPr>
        <w:t>             </w:t>
      </w:r>
      <w:r>
        <w:rPr>
          <w:rFonts w:hint="eastAsia" w:ascii="方正仿宋_GB2312" w:hAnsi="方正仿宋_GB2312" w:eastAsia="方正仿宋_GB2312" w:cs="方正仿宋_GB2312"/>
          <w:color w:val="auto"/>
          <w:sz w:val="24"/>
          <w:highlight w:val="none"/>
        </w:rPr>
        <w:t>（盖公章）</w:t>
      </w:r>
    </w:p>
    <w:p w14:paraId="402251CD">
      <w:pPr>
        <w:spacing w:line="400" w:lineRule="exact"/>
        <w:ind w:firstLine="482" w:firstLineChars="200"/>
        <w:rPr>
          <w:rFonts w:hint="eastAsia" w:ascii="方正仿宋_GB2312" w:hAnsi="方正仿宋_GB2312" w:eastAsia="方正仿宋_GB2312" w:cs="方正仿宋_GB2312"/>
          <w:b/>
          <w:bCs/>
          <w:color w:val="auto"/>
          <w:sz w:val="24"/>
          <w:szCs w:val="28"/>
          <w:highlight w:val="none"/>
        </w:rPr>
      </w:pPr>
    </w:p>
    <w:p w14:paraId="11B758BE">
      <w:pPr>
        <w:spacing w:line="360" w:lineRule="auto"/>
        <w:rPr>
          <w:rFonts w:hint="eastAsia" w:ascii="方正仿宋_GB2312" w:hAnsi="方正仿宋_GB2312" w:eastAsia="方正仿宋_GB2312" w:cs="方正仿宋_GB2312"/>
          <w:color w:val="auto"/>
          <w:sz w:val="24"/>
          <w:szCs w:val="24"/>
          <w:highlight w:val="none"/>
        </w:rPr>
      </w:pPr>
      <w:bookmarkStart w:id="164" w:name="_Hlk187934629"/>
      <w:r>
        <w:rPr>
          <w:rFonts w:hint="eastAsia" w:ascii="方正仿宋_GB2312" w:hAnsi="方正仿宋_GB2312" w:eastAsia="方正仿宋_GB2312" w:cs="方正仿宋_GB2312"/>
          <w:color w:val="auto"/>
          <w:sz w:val="24"/>
          <w:szCs w:val="24"/>
          <w:highlight w:val="none"/>
        </w:rPr>
        <w:t>1.投标人必须对技术要求和商务要求中的实质性要求（打“★”内容）做出明确响应，否则作无效响应处理。</w:t>
      </w:r>
    </w:p>
    <w:p w14:paraId="5606AF0C">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2.如果采购文件要求提供证明材料，投标人必须将证明材料列于该表之下。</w:t>
      </w:r>
    </w:p>
    <w:p w14:paraId="2BC9C874">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3.投标人未对实质性要求作出明确响应的，或未按采购文件要求提供证明材料的，该分包作无效响应处理。</w:t>
      </w:r>
    </w:p>
    <w:p w14:paraId="5D303D71">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4.行数不够，可自行添加。</w:t>
      </w:r>
    </w:p>
    <w:p w14:paraId="53451B7E">
      <w:pPr>
        <w:pBdr>
          <w:top w:val="none" w:color="000000" w:sz="0" w:space="0"/>
          <w:left w:val="none" w:color="000000" w:sz="0" w:space="0"/>
          <w:bottom w:val="none" w:color="000000" w:sz="0" w:space="0"/>
          <w:right w:val="none" w:color="000000" w:sz="0" w:space="0"/>
        </w:pBdr>
        <w:spacing w:line="400" w:lineRule="exact"/>
        <w:rPr>
          <w:rFonts w:hint="eastAsia" w:ascii="方正仿宋_GB2312" w:hAnsi="方正仿宋_GB2312" w:eastAsia="方正仿宋_GB2312" w:cs="方正仿宋_GB2312"/>
          <w:color w:val="auto"/>
          <w:sz w:val="24"/>
          <w:szCs w:val="21"/>
          <w:highlight w:val="none"/>
        </w:rPr>
      </w:pPr>
    </w:p>
    <w:bookmarkEnd w:id="164"/>
    <w:p w14:paraId="421619D8">
      <w:pPr>
        <w:ind w:firstLine="210"/>
        <w:rPr>
          <w:rFonts w:hint="eastAsia" w:ascii="方正仿宋_GB2312" w:hAnsi="方正仿宋_GB2312" w:eastAsia="方正仿宋_GB2312" w:cs="方正仿宋_GB2312"/>
          <w:color w:val="auto"/>
          <w:szCs w:val="21"/>
          <w:highlight w:val="none"/>
        </w:rPr>
      </w:pPr>
      <w:bookmarkStart w:id="165" w:name="_Toc25337"/>
      <w:bookmarkStart w:id="166" w:name="_Toc15871"/>
    </w:p>
    <w:p w14:paraId="78DDDAA7">
      <w:pPr>
        <w:outlineLvl w:val="1"/>
        <w:rPr>
          <w:rFonts w:hint="default" w:ascii="方正仿宋_GB2312" w:hAnsi="方正仿宋_GB2312" w:eastAsia="方正仿宋_GB2312" w:cs="方正仿宋_GB2312"/>
          <w:bCs/>
          <w:color w:val="auto"/>
          <w:sz w:val="32"/>
          <w:szCs w:val="24"/>
          <w:highlight w:val="none"/>
          <w:lang w:val="en-US" w:eastAsia="zh-CN"/>
        </w:rPr>
      </w:pPr>
      <w:r>
        <w:rPr>
          <w:rFonts w:hint="eastAsia" w:ascii="方正仿宋_GB2312" w:hAnsi="方正仿宋_GB2312" w:eastAsia="方正仿宋_GB2312" w:cs="方正仿宋_GB2312"/>
          <w:color w:val="auto"/>
          <w:sz w:val="32"/>
          <w:szCs w:val="32"/>
          <w:highlight w:val="none"/>
        </w:rPr>
        <w:br w:type="page"/>
      </w:r>
      <w:r>
        <w:rPr>
          <w:rFonts w:hint="eastAsia" w:ascii="方正仿宋_GB2312" w:hAnsi="方正仿宋_GB2312" w:eastAsia="方正仿宋_GB2312" w:cs="方正仿宋_GB2312"/>
          <w:bCs/>
          <w:color w:val="auto"/>
          <w:sz w:val="32"/>
          <w:szCs w:val="24"/>
          <w:highlight w:val="none"/>
          <w:lang w:val="en-US" w:eastAsia="zh-CN"/>
        </w:rPr>
        <w:t>七、项目实施方案</w:t>
      </w:r>
    </w:p>
    <w:p w14:paraId="5B04C99D">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r>
    </w:p>
    <w:p w14:paraId="7825541D">
      <w:pPr>
        <w:ind w:left="210"/>
        <w:outlineLvl w:val="1"/>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八、投标人业绩</w:t>
      </w:r>
      <w:bookmarkEnd w:id="165"/>
      <w:bookmarkEnd w:id="166"/>
    </w:p>
    <w:p w14:paraId="29A322D2">
      <w:pPr>
        <w:jc w:val="center"/>
        <w:rPr>
          <w:rFonts w:hint="eastAsia" w:ascii="方正仿宋_GB2312" w:hAnsi="方正仿宋_GB2312" w:eastAsia="方正仿宋_GB2312" w:cs="方正仿宋_GB2312"/>
          <w:bCs/>
          <w:color w:val="auto"/>
          <w:sz w:val="32"/>
          <w:szCs w:val="32"/>
          <w:highlight w:val="none"/>
        </w:rPr>
      </w:pPr>
    </w:p>
    <w:p w14:paraId="43EBEF5B">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投标人</w:t>
      </w:r>
      <w:bookmarkStart w:id="167" w:name="_Hlk187935031"/>
      <w:r>
        <w:rPr>
          <w:rFonts w:hint="eastAsia" w:ascii="方正仿宋_GB2312" w:hAnsi="方正仿宋_GB2312" w:eastAsia="方正仿宋_GB2312" w:cs="方正仿宋_GB2312"/>
          <w:bCs/>
          <w:color w:val="auto"/>
          <w:sz w:val="32"/>
          <w:szCs w:val="32"/>
          <w:highlight w:val="none"/>
        </w:rPr>
        <w:t>自</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年</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月</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日以来承担</w:t>
      </w:r>
    </w:p>
    <w:p w14:paraId="3B6902F8">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类似项目业绩汇总一览表</w:t>
      </w:r>
    </w:p>
    <w:bookmarkEnd w:id="167"/>
    <w:tbl>
      <w:tblPr>
        <w:tblStyle w:val="5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6"/>
        <w:gridCol w:w="1025"/>
        <w:gridCol w:w="1026"/>
        <w:gridCol w:w="1534"/>
        <w:gridCol w:w="1534"/>
        <w:gridCol w:w="3565"/>
      </w:tblGrid>
      <w:tr w14:paraId="1309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516" w:type="dxa"/>
            <w:vAlign w:val="center"/>
          </w:tcPr>
          <w:p w14:paraId="298D6B9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序号</w:t>
            </w:r>
          </w:p>
        </w:tc>
        <w:tc>
          <w:tcPr>
            <w:tcW w:w="1025" w:type="dxa"/>
            <w:vAlign w:val="center"/>
          </w:tcPr>
          <w:p w14:paraId="6347B6D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项目名称</w:t>
            </w:r>
          </w:p>
        </w:tc>
        <w:tc>
          <w:tcPr>
            <w:tcW w:w="1026" w:type="dxa"/>
            <w:vAlign w:val="center"/>
          </w:tcPr>
          <w:p w14:paraId="2667F905">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采购单位</w:t>
            </w:r>
          </w:p>
        </w:tc>
        <w:tc>
          <w:tcPr>
            <w:tcW w:w="1534" w:type="dxa"/>
            <w:vAlign w:val="center"/>
          </w:tcPr>
          <w:p w14:paraId="32DE36C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服务主要内容</w:t>
            </w:r>
          </w:p>
        </w:tc>
        <w:tc>
          <w:tcPr>
            <w:tcW w:w="1534" w:type="dxa"/>
            <w:vAlign w:val="center"/>
          </w:tcPr>
          <w:p w14:paraId="06EA62A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合同签订时间</w:t>
            </w:r>
          </w:p>
        </w:tc>
        <w:tc>
          <w:tcPr>
            <w:tcW w:w="3565" w:type="dxa"/>
            <w:vAlign w:val="center"/>
          </w:tcPr>
          <w:p w14:paraId="3B7FFFA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核实电话与联系人（固定电话）</w:t>
            </w:r>
          </w:p>
        </w:tc>
      </w:tr>
      <w:tr w14:paraId="6AD6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4E6DE631">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6EE3E56F">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297CC2E2">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55439A82">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606DAA22">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2616B0D7">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r w14:paraId="415C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47C2F318">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60E68F69">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2FC06421">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7FD4287C">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04D9D83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1D7C7DF1">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r w14:paraId="2D6F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22F332BC">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4EAB6279">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5E2CF7B0">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1CAFB048">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0A98B233">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10A3800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r w14:paraId="4CB1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16" w:type="dxa"/>
            <w:vAlign w:val="center"/>
          </w:tcPr>
          <w:p w14:paraId="3DDCEB4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5" w:type="dxa"/>
            <w:vAlign w:val="center"/>
          </w:tcPr>
          <w:p w14:paraId="5B15E36A">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026" w:type="dxa"/>
            <w:vAlign w:val="center"/>
          </w:tcPr>
          <w:p w14:paraId="5F9F4004">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4BEC4A9E">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1534" w:type="dxa"/>
            <w:vAlign w:val="center"/>
          </w:tcPr>
          <w:p w14:paraId="0A9F88E5">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c>
          <w:tcPr>
            <w:tcW w:w="3565" w:type="dxa"/>
            <w:vAlign w:val="center"/>
          </w:tcPr>
          <w:p w14:paraId="1343795D">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4"/>
                <w:highlight w:val="none"/>
              </w:rPr>
            </w:pPr>
          </w:p>
        </w:tc>
      </w:tr>
    </w:tbl>
    <w:p w14:paraId="336034F2">
      <w:pPr>
        <w:ind w:left="210"/>
        <w:outlineLvl w:val="1"/>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b/>
          <w:bCs/>
          <w:color w:val="auto"/>
          <w:sz w:val="32"/>
          <w:szCs w:val="20"/>
          <w:highlight w:val="none"/>
        </w:rPr>
        <w:br w:type="page" w:clear="all"/>
      </w:r>
      <w:bookmarkStart w:id="168" w:name="_Toc9275"/>
      <w:bookmarkStart w:id="169" w:name="_Toc26048"/>
      <w:r>
        <w:rPr>
          <w:rFonts w:hint="eastAsia" w:ascii="方正仿宋_GB2312" w:hAnsi="方正仿宋_GB2312" w:eastAsia="方正仿宋_GB2312" w:cs="方正仿宋_GB2312"/>
          <w:color w:val="auto"/>
          <w:sz w:val="32"/>
          <w:szCs w:val="32"/>
          <w:highlight w:val="none"/>
        </w:rPr>
        <w:t>九、项目组人员</w:t>
      </w:r>
    </w:p>
    <w:tbl>
      <w:tblPr>
        <w:tblStyle w:val="5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71"/>
        <w:gridCol w:w="1072"/>
        <w:gridCol w:w="1812"/>
        <w:gridCol w:w="1812"/>
        <w:gridCol w:w="2555"/>
        <w:gridCol w:w="1072"/>
      </w:tblGrid>
      <w:tr w14:paraId="3D539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7E59F86C">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姓名</w:t>
            </w:r>
          </w:p>
        </w:tc>
        <w:tc>
          <w:tcPr>
            <w:tcW w:w="1072" w:type="dxa"/>
            <w:tcBorders>
              <w:top w:val="single" w:color="000000" w:sz="4" w:space="0"/>
              <w:left w:val="single" w:color="000000" w:sz="4" w:space="0"/>
              <w:bottom w:val="single" w:color="000000" w:sz="4" w:space="0"/>
              <w:right w:val="single" w:color="000000" w:sz="4" w:space="0"/>
            </w:tcBorders>
            <w:vAlign w:val="center"/>
          </w:tcPr>
          <w:p w14:paraId="14A99D11">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学历</w:t>
            </w:r>
          </w:p>
        </w:tc>
        <w:tc>
          <w:tcPr>
            <w:tcW w:w="1812" w:type="dxa"/>
            <w:tcBorders>
              <w:top w:val="single" w:color="000000" w:sz="4" w:space="0"/>
              <w:left w:val="single" w:color="000000" w:sz="4" w:space="0"/>
              <w:bottom w:val="single" w:color="000000" w:sz="4" w:space="0"/>
              <w:right w:val="single" w:color="000000" w:sz="4" w:space="0"/>
            </w:tcBorders>
            <w:vAlign w:val="center"/>
          </w:tcPr>
          <w:p w14:paraId="072478A0">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身份证号</w:t>
            </w:r>
          </w:p>
        </w:tc>
        <w:tc>
          <w:tcPr>
            <w:tcW w:w="1812" w:type="dxa"/>
            <w:tcBorders>
              <w:top w:val="single" w:color="000000" w:sz="4" w:space="0"/>
              <w:left w:val="single" w:color="000000" w:sz="4" w:space="0"/>
              <w:bottom w:val="single" w:color="000000" w:sz="4" w:space="0"/>
              <w:right w:val="single" w:color="000000" w:sz="4" w:space="0"/>
            </w:tcBorders>
            <w:vAlign w:val="center"/>
          </w:tcPr>
          <w:p w14:paraId="2CDCB013">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相关证书</w:t>
            </w:r>
          </w:p>
        </w:tc>
        <w:tc>
          <w:tcPr>
            <w:tcW w:w="2555" w:type="dxa"/>
            <w:tcBorders>
              <w:top w:val="single" w:color="000000" w:sz="4" w:space="0"/>
              <w:left w:val="single" w:color="000000" w:sz="4" w:space="0"/>
              <w:bottom w:val="single" w:color="000000" w:sz="4" w:space="0"/>
              <w:right w:val="single" w:color="000000" w:sz="4" w:space="0"/>
            </w:tcBorders>
            <w:vAlign w:val="center"/>
          </w:tcPr>
          <w:p w14:paraId="00E83737">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工作经历简介</w:t>
            </w:r>
          </w:p>
        </w:tc>
        <w:tc>
          <w:tcPr>
            <w:tcW w:w="1072" w:type="dxa"/>
            <w:tcBorders>
              <w:top w:val="single" w:color="000000" w:sz="4" w:space="0"/>
              <w:left w:val="single" w:color="000000" w:sz="4" w:space="0"/>
              <w:bottom w:val="single" w:color="000000" w:sz="4" w:space="0"/>
              <w:right w:val="single" w:color="000000" w:sz="4" w:space="0"/>
            </w:tcBorders>
            <w:vAlign w:val="center"/>
          </w:tcPr>
          <w:p w14:paraId="6647101B">
            <w:pPr>
              <w:widowControl/>
              <w:snapToGrid w:val="0"/>
              <w:spacing w:beforeAutospacing="1" w:line="240" w:lineRule="auto"/>
              <w:ind w:left="0" w:leftChars="0" w:right="0" w:rightChars="0"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备注</w:t>
            </w:r>
          </w:p>
        </w:tc>
      </w:tr>
      <w:tr w14:paraId="0B365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616A0F8D">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007C367A">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69B33B6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BA4BD02">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32564D2A">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4E52419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68CD7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6B706599">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11A5C51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3840FD4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648E138">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6C233E0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CA712A3">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361B0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30E7E4CA">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782DEE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69B62BDF">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4D75E79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7B598B6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710258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41AC5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7C513DC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4D8FD83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14BB489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4C32D14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bookmarkStart w:id="170" w:name="_GoBack"/>
            <w:bookmarkEnd w:id="170"/>
          </w:p>
        </w:tc>
        <w:tc>
          <w:tcPr>
            <w:tcW w:w="2555" w:type="dxa"/>
            <w:tcBorders>
              <w:top w:val="single" w:color="000000" w:sz="4" w:space="0"/>
              <w:left w:val="single" w:color="000000" w:sz="4" w:space="0"/>
              <w:bottom w:val="single" w:color="000000" w:sz="4" w:space="0"/>
              <w:right w:val="single" w:color="000000" w:sz="4" w:space="0"/>
            </w:tcBorders>
            <w:vAlign w:val="center"/>
          </w:tcPr>
          <w:p w14:paraId="2033A0BF">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451D67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57D57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15971F1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6D93076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67EE7FD5">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3D59A4E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1FB2EE5C">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134C871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75EB0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62B612F3">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72A08229">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1FE75231">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70BD9190">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73BE10B5">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5C8C35C7">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308C2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4275F8A2">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51EE6BCD">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05235F22">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C1EB865">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35942A5F">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616E79D4">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r w14:paraId="0D85E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4E5AE739">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3B93727E">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5B19924C">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3ACF3088">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2555" w:type="dxa"/>
            <w:tcBorders>
              <w:top w:val="single" w:color="000000" w:sz="4" w:space="0"/>
              <w:left w:val="single" w:color="000000" w:sz="4" w:space="0"/>
              <w:bottom w:val="single" w:color="000000" w:sz="4" w:space="0"/>
              <w:right w:val="single" w:color="000000" w:sz="4" w:space="0"/>
            </w:tcBorders>
            <w:vAlign w:val="center"/>
          </w:tcPr>
          <w:p w14:paraId="4EA531B8">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c>
          <w:tcPr>
            <w:tcW w:w="1072" w:type="dxa"/>
            <w:tcBorders>
              <w:top w:val="single" w:color="000000" w:sz="4" w:space="0"/>
              <w:left w:val="single" w:color="000000" w:sz="4" w:space="0"/>
              <w:bottom w:val="single" w:color="000000" w:sz="4" w:space="0"/>
              <w:right w:val="single" w:color="000000" w:sz="4" w:space="0"/>
            </w:tcBorders>
            <w:vAlign w:val="center"/>
          </w:tcPr>
          <w:p w14:paraId="17E0B336">
            <w:pPr>
              <w:widowControl/>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sz w:val="28"/>
                <w:szCs w:val="28"/>
                <w:highlight w:val="none"/>
              </w:rPr>
            </w:pPr>
          </w:p>
        </w:tc>
      </w:tr>
    </w:tbl>
    <w:p w14:paraId="7EF347A0">
      <w:pPr>
        <w:spacing w:line="460" w:lineRule="exact"/>
        <w:ind w:firstLine="48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注：涉及评分标准的项目组人员在本表中填报，相关证明材料附后。未涉及评分标准的其他人员可在中标后按采购需求要求进行配备，合同签订前报采购人认可。</w:t>
      </w:r>
    </w:p>
    <w:p w14:paraId="0E855D52">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r>
    </w:p>
    <w:p w14:paraId="03CDF876">
      <w:pPr>
        <w:spacing w:line="480" w:lineRule="exact"/>
        <w:outlineLvl w:val="1"/>
        <w:rPr>
          <w:rFonts w:hint="eastAsia" w:ascii="方正仿宋_GB2312" w:hAnsi="方正仿宋_GB2312" w:eastAsia="方正仿宋_GB2312" w:cs="方正仿宋_GB2312"/>
          <w:color w:val="auto"/>
          <w:szCs w:val="32"/>
          <w:highlight w:val="none"/>
        </w:rPr>
      </w:pPr>
      <w:r>
        <w:rPr>
          <w:rFonts w:hint="eastAsia" w:ascii="方正仿宋_GB2312" w:hAnsi="方正仿宋_GB2312" w:eastAsia="方正仿宋_GB2312" w:cs="方正仿宋_GB2312"/>
          <w:color w:val="auto"/>
          <w:sz w:val="32"/>
          <w:szCs w:val="32"/>
          <w:highlight w:val="none"/>
        </w:rPr>
        <w:t>十、投标所需其他材料</w:t>
      </w:r>
      <w:bookmarkEnd w:id="168"/>
      <w:bookmarkEnd w:id="169"/>
    </w:p>
    <w:p w14:paraId="6C983144">
      <w:pPr>
        <w:spacing w:line="480" w:lineRule="exact"/>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请在此文档中增加投标所需其他相关内容（包括评分办法、采购需求中涉及的证件证明及其它投标人认为有必要提供的资料）。</w:t>
      </w:r>
    </w:p>
    <w:p w14:paraId="666489F8">
      <w:pPr>
        <w:rPr>
          <w:rFonts w:hint="eastAsia" w:ascii="方正仿宋_GB2312" w:hAnsi="方正仿宋_GB2312" w:eastAsia="方正仿宋_GB2312" w:cs="方正仿宋_GB2312"/>
          <w:color w:val="auto"/>
          <w:highlight w:val="none"/>
        </w:rPr>
      </w:pPr>
    </w:p>
    <w:p w14:paraId="5F095BA6">
      <w:pPr>
        <w:pStyle w:val="300"/>
        <w:spacing w:line="360" w:lineRule="auto"/>
        <w:ind w:firstLine="482" w:firstLineChars="200"/>
        <w:rPr>
          <w:rFonts w:hint="eastAsia" w:ascii="方正仿宋_GB2312" w:hAnsi="方正仿宋_GB2312" w:eastAsia="方正仿宋_GB2312" w:cs="方正仿宋_GB2312"/>
          <w:color w:val="auto"/>
          <w:sz w:val="24"/>
          <w:highlight w:val="none"/>
        </w:rPr>
      </w:pPr>
    </w:p>
    <w:sectPr>
      <w:footerReference r:id="rId6" w:type="default"/>
      <w:type w:val="continuous"/>
      <w:pgSz w:w="11906" w:h="16838"/>
      <w:pgMar w:top="1440" w:right="1304" w:bottom="1440" w:left="1418" w:header="851" w:footer="992" w:gutter="0"/>
      <w:pgBorders>
        <w:top w:val="none" w:sz="0" w:space="0"/>
        <w:left w:val="none" w:sz="0" w:space="0"/>
        <w:bottom w:val="none" w:sz="0" w:space="0"/>
        <w:right w:val="none" w:sz="0" w:space="0"/>
      </w:pgBorders>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337343B-BB32-4368-AD0B-035D4FFFF8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443BFDCE-DE7D-40FC-990A-72205440FE7F}"/>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embedRegular r:id="rId3" w:fontKey="{A7C4250D-29C9-401A-B2D4-50CAA8E409E9}"/>
  </w:font>
  <w:font w:name="Arial Unicode MS">
    <w:panose1 w:val="020B0604020202020204"/>
    <w:charset w:val="86"/>
    <w:family w:val="swiss"/>
    <w:pitch w:val="default"/>
    <w:sig w:usb0="F7FFAEFF" w:usb1="F9DFFFFF" w:usb2="0000007F" w:usb3="00000000" w:csb0="203F01FF" w:csb1="DFFF0000"/>
  </w:font>
  <w:font w:name="方正黑体_GBK">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华文楷体">
    <w:panose1 w:val="02010600040101010101"/>
    <w:charset w:val="86"/>
    <w:family w:val="auto"/>
    <w:pitch w:val="default"/>
    <w:sig w:usb0="A00002BF" w:usb1="78CF7CFB" w:usb2="00000016" w:usb3="00000000" w:csb0="6006009F" w:csb1="DFD70000"/>
  </w:font>
  <w:font w:name="方正仿宋_GB2312">
    <w:panose1 w:val="02000000000000000000"/>
    <w:charset w:val="86"/>
    <w:family w:val="auto"/>
    <w:pitch w:val="default"/>
    <w:sig w:usb0="A00002BF" w:usb1="184F6CFA" w:usb2="00000012" w:usb3="00000000" w:csb0="00040001" w:csb1="00000000"/>
    <w:embedRegular r:id="rId4" w:fontKey="{E8A8C8CA-F181-45B9-AF56-F59D260B7691}"/>
  </w:font>
  <w:font w:name="方正仿宋_GBK">
    <w:panose1 w:val="02000000000000000000"/>
    <w:charset w:val="86"/>
    <w:family w:val="auto"/>
    <w:pitch w:val="default"/>
    <w:sig w:usb0="A00002BF" w:usb1="38CF7CFA" w:usb2="00082016" w:usb3="00000000" w:csb0="00040001" w:csb1="00000000"/>
    <w:embedRegular r:id="rId5" w:fontKey="{723C1B48-FB88-44DC-8F29-452BDE4BB65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5FFE">
    <w:pPr>
      <w:pStyle w:val="3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F47D7">
                          <w:pPr>
                            <w:pStyle w:val="3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BCF47D7">
                    <w:pPr>
                      <w:pStyle w:val="3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590D494F">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90867">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BFA552">
                          <w:pPr>
                            <w:pStyle w:val="35"/>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LmE8mbCAQAAjgMAAA4AAAAAAAAAAQAgAAAAHgEAAGRycy9lMm9Eb2MueG1sUEsF&#10;BgAAAAAGAAYAWQEAAFIFAAAAAA==&#10;">
              <v:fill on="f" focussize="0,0"/>
              <v:stroke on="f"/>
              <v:imagedata o:title=""/>
              <o:lock v:ext="edit" aspectratio="f"/>
              <v:textbox inset="0mm,0mm,0mm,0mm" style="mso-fit-shape-to-text:t;">
                <w:txbxContent>
                  <w:p w14:paraId="1DBFA55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BB2D4">
    <w:pPr>
      <w:pStyle w:val="35"/>
      <w:jc w:val="center"/>
    </w:pPr>
    <w:r>
      <mc:AlternateContent>
        <mc:Choice Requires="wps">
          <w:drawing>
            <wp:anchor distT="0" distB="0" distL="114300" distR="114300" simplePos="0" relativeHeight="251659264" behindDoc="0" locked="0" layoutInCell="1" allowOverlap="1">
              <wp:simplePos x="0" y="0"/>
              <wp:positionH relativeFrom="margin">
                <wp:posOffset>2541270</wp:posOffset>
              </wp:positionH>
              <wp:positionV relativeFrom="paragraph">
                <wp:posOffset>-118745</wp:posOffset>
              </wp:positionV>
              <wp:extent cx="2647950" cy="342900"/>
              <wp:effectExtent l="0" t="0" r="0" b="0"/>
              <wp:wrapNone/>
              <wp:docPr id="3" name="文本框 14"/>
              <wp:cNvGraphicFramePr/>
              <a:graphic xmlns:a="http://schemas.openxmlformats.org/drawingml/2006/main">
                <a:graphicData uri="http://schemas.microsoft.com/office/word/2010/wordprocessingShape">
                  <wps:wsp>
                    <wps:cNvSpPr txBox="1"/>
                    <wps:spPr>
                      <a:xfrm>
                        <a:off x="0" y="0"/>
                        <a:ext cx="2647950" cy="342900"/>
                      </a:xfrm>
                      <a:prstGeom prst="rect">
                        <a:avLst/>
                      </a:prstGeom>
                      <a:noFill/>
                      <a:ln>
                        <a:noFill/>
                      </a:ln>
                    </wps:spPr>
                    <wps:txbx>
                      <w:txbxContent>
                        <w:p w14:paraId="2420D873">
                          <w:pPr>
                            <w:pStyle w:val="35"/>
                            <w:jc w:val="center"/>
                            <w:rPr>
                              <w:rFonts w:ascii="Times New Roman" w:hAnsi="Times New Roman"/>
                              <w:sz w:val="21"/>
                              <w:szCs w:val="21"/>
                            </w:rPr>
                          </w:pPr>
                        </w:p>
                        <w:p w14:paraId="262ADADB">
                          <w:pPr>
                            <w:pStyle w:val="35"/>
                            <w:jc w:val="center"/>
                            <w:rPr>
                              <w:rFonts w:ascii="Times New Roman" w:hAnsi="Times New Roman"/>
                              <w:sz w:val="21"/>
                              <w:szCs w:val="21"/>
                            </w:rPr>
                          </w:pPr>
                        </w:p>
                      </w:txbxContent>
                    </wps:txbx>
                    <wps:bodyPr wrap="square" lIns="0" tIns="0" rIns="0" bIns="0">
                      <a:noAutofit/>
                    </wps:bodyPr>
                  </wps:wsp>
                </a:graphicData>
              </a:graphic>
            </wp:anchor>
          </w:drawing>
        </mc:Choice>
        <mc:Fallback>
          <w:pict>
            <v:shape id="文本框 14" o:spid="_x0000_s1026" o:spt="202" type="#_x0000_t202" style="position:absolute;left:0pt;margin-left:200.1pt;margin-top:-9.35pt;height:27pt;width:208.5pt;mso-position-horizontal-relative:margin;z-index:251659264;mso-width-relative:page;mso-height-relative:page;" filled="f" stroked="f" coordsize="21600,21600" o:gfxdata="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&#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KZ/vJfZAAAACgEAAA8AAAAAAAAAAQAgAAAAIgAAAGRy&#10;cy9kb3ducmV2LnhtbFBLAQIUABQAAAAIAIdO4kDGb+3PywEAAI8DAAAOAAAAAAAAAAEAIAAAACgB&#10;AABkcnMvZTJvRG9jLnhtbFBLBQYAAAAABgAGAFkBAABlBQAAAAA=&#10;">
              <v:fill on="f" focussize="0,0"/>
              <v:stroke on="f"/>
              <v:imagedata o:title=""/>
              <o:lock v:ext="edit" aspectratio="f"/>
              <v:textbox inset="0mm,0mm,0mm,0mm">
                <w:txbxContent>
                  <w:p w14:paraId="2420D873">
                    <w:pPr>
                      <w:pStyle w:val="35"/>
                      <w:jc w:val="center"/>
                      <w:rPr>
                        <w:rFonts w:ascii="Times New Roman" w:hAnsi="Times New Roman"/>
                        <w:sz w:val="21"/>
                        <w:szCs w:val="21"/>
                      </w:rPr>
                    </w:pPr>
                  </w:p>
                  <w:p w14:paraId="262ADADB">
                    <w:pPr>
                      <w:pStyle w:val="35"/>
                      <w:jc w:val="center"/>
                      <w:rPr>
                        <w:rFonts w:ascii="Times New Roman" w:hAnsi="Times New Roman"/>
                        <w:sz w:val="21"/>
                        <w:szCs w:val="21"/>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7D57A3">
                          <w:pPr>
                            <w:pStyle w:val="3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C7D57A3">
                    <w:pPr>
                      <w:pStyle w:val="35"/>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p w14:paraId="3D7821BD">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52B1F">
    <w:pPr>
      <w:pStyle w:val="3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CBA693"/>
    <w:multiLevelType w:val="singleLevel"/>
    <w:tmpl w:val="9CCBA693"/>
    <w:lvl w:ilvl="0" w:tentative="0">
      <w:start w:val="2"/>
      <w:numFmt w:val="chineseCounting"/>
      <w:suff w:val="nothing"/>
      <w:lvlText w:val="（%1）"/>
      <w:lvlJc w:val="left"/>
      <w:rPr>
        <w:rFonts w:hint="eastAsia"/>
      </w:rPr>
    </w:lvl>
  </w:abstractNum>
  <w:abstractNum w:abstractNumId="1">
    <w:nsid w:val="B81D7ED1"/>
    <w:multiLevelType w:val="singleLevel"/>
    <w:tmpl w:val="B81D7ED1"/>
    <w:lvl w:ilvl="0" w:tentative="0">
      <w:start w:val="1"/>
      <w:numFmt w:val="chineseCounting"/>
      <w:suff w:val="nothing"/>
      <w:lvlText w:val="%1、"/>
      <w:lvlJc w:val="left"/>
      <w:rPr>
        <w:rFonts w:hint="eastAsia"/>
      </w:rPr>
    </w:lvl>
  </w:abstractNum>
  <w:abstractNum w:abstractNumId="2">
    <w:nsid w:val="0204BB9D"/>
    <w:multiLevelType w:val="singleLevel"/>
    <w:tmpl w:val="0204BB9D"/>
    <w:lvl w:ilvl="0" w:tentative="0">
      <w:start w:val="2"/>
      <w:numFmt w:val="chineseCounting"/>
      <w:suff w:val="nothing"/>
      <w:lvlText w:val="%1、"/>
      <w:lvlJc w:val="left"/>
      <w:rPr>
        <w:rFonts w:hint="eastAsia"/>
      </w:rPr>
    </w:lvl>
  </w:abstractNum>
  <w:abstractNum w:abstractNumId="3">
    <w:nsid w:val="03D62ECE"/>
    <w:multiLevelType w:val="multilevel"/>
    <w:tmpl w:val="03D62ECE"/>
    <w:lvl w:ilvl="0" w:tentative="0">
      <w:start w:val="1"/>
      <w:numFmt w:val="decimal"/>
      <w:pStyle w:val="391"/>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chineseCounting"/>
      <w:pStyle w:val="406"/>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3BCF8E7"/>
    <w:multiLevelType w:val="singleLevel"/>
    <w:tmpl w:val="33BCF8E7"/>
    <w:lvl w:ilvl="0" w:tentative="0">
      <w:start w:val="1"/>
      <w:numFmt w:val="chineseCounting"/>
      <w:suff w:val="nothing"/>
      <w:lvlText w:val="（%1）"/>
      <w:lvlJc w:val="left"/>
      <w:rPr>
        <w:rFonts w:hint="eastAsia"/>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kZGIwMzljNDU5NjY5NDBiNTE0YzM3Y2FkYWYyZDUifQ=="/>
  </w:docVars>
  <w:rsids>
    <w:rsidRoot w:val="002529FB"/>
    <w:rsid w:val="000844C3"/>
    <w:rsid w:val="000B3B72"/>
    <w:rsid w:val="000D37F4"/>
    <w:rsid w:val="000F21C3"/>
    <w:rsid w:val="00113A29"/>
    <w:rsid w:val="00142FA2"/>
    <w:rsid w:val="00177565"/>
    <w:rsid w:val="001A0E2C"/>
    <w:rsid w:val="001B6BAF"/>
    <w:rsid w:val="001C7914"/>
    <w:rsid w:val="00214241"/>
    <w:rsid w:val="0022699F"/>
    <w:rsid w:val="00233EFE"/>
    <w:rsid w:val="00252586"/>
    <w:rsid w:val="002529FB"/>
    <w:rsid w:val="002535E9"/>
    <w:rsid w:val="00260B58"/>
    <w:rsid w:val="002C1F48"/>
    <w:rsid w:val="002D7E83"/>
    <w:rsid w:val="00311AA2"/>
    <w:rsid w:val="0032785B"/>
    <w:rsid w:val="00332423"/>
    <w:rsid w:val="00354490"/>
    <w:rsid w:val="0036682F"/>
    <w:rsid w:val="003718F2"/>
    <w:rsid w:val="00396C2F"/>
    <w:rsid w:val="003C758B"/>
    <w:rsid w:val="003E77AF"/>
    <w:rsid w:val="003F7D28"/>
    <w:rsid w:val="00407024"/>
    <w:rsid w:val="0041262B"/>
    <w:rsid w:val="00417EF4"/>
    <w:rsid w:val="00422FA4"/>
    <w:rsid w:val="00445AD2"/>
    <w:rsid w:val="0046589A"/>
    <w:rsid w:val="00465982"/>
    <w:rsid w:val="004965A2"/>
    <w:rsid w:val="004A783A"/>
    <w:rsid w:val="004C0736"/>
    <w:rsid w:val="005721AC"/>
    <w:rsid w:val="005D3040"/>
    <w:rsid w:val="005D5B49"/>
    <w:rsid w:val="005E42BB"/>
    <w:rsid w:val="005F460C"/>
    <w:rsid w:val="00643831"/>
    <w:rsid w:val="0064722B"/>
    <w:rsid w:val="00672A2D"/>
    <w:rsid w:val="00693708"/>
    <w:rsid w:val="006A1E15"/>
    <w:rsid w:val="006E2F08"/>
    <w:rsid w:val="006F4D6F"/>
    <w:rsid w:val="00742B6B"/>
    <w:rsid w:val="00775D75"/>
    <w:rsid w:val="007768E0"/>
    <w:rsid w:val="007B5EC4"/>
    <w:rsid w:val="007D0FD1"/>
    <w:rsid w:val="007D3AFD"/>
    <w:rsid w:val="007D5B99"/>
    <w:rsid w:val="0081179C"/>
    <w:rsid w:val="008262E5"/>
    <w:rsid w:val="0084052A"/>
    <w:rsid w:val="008449B5"/>
    <w:rsid w:val="008646DA"/>
    <w:rsid w:val="00871B84"/>
    <w:rsid w:val="00945CA2"/>
    <w:rsid w:val="00947755"/>
    <w:rsid w:val="00A33CDC"/>
    <w:rsid w:val="00AA1C90"/>
    <w:rsid w:val="00AB026E"/>
    <w:rsid w:val="00B00BD6"/>
    <w:rsid w:val="00B6389A"/>
    <w:rsid w:val="00B85CA5"/>
    <w:rsid w:val="00BB307F"/>
    <w:rsid w:val="00BD1293"/>
    <w:rsid w:val="00BD580A"/>
    <w:rsid w:val="00BD7C24"/>
    <w:rsid w:val="00BF3CE1"/>
    <w:rsid w:val="00BF4AB7"/>
    <w:rsid w:val="00C10332"/>
    <w:rsid w:val="00C4343C"/>
    <w:rsid w:val="00C96F12"/>
    <w:rsid w:val="00CC213F"/>
    <w:rsid w:val="00CD5F30"/>
    <w:rsid w:val="00CF4A04"/>
    <w:rsid w:val="00D060EF"/>
    <w:rsid w:val="00D74B1F"/>
    <w:rsid w:val="00D77A5A"/>
    <w:rsid w:val="00D87CDF"/>
    <w:rsid w:val="00DA5C53"/>
    <w:rsid w:val="00DD360F"/>
    <w:rsid w:val="00DE52F8"/>
    <w:rsid w:val="00DE7F4D"/>
    <w:rsid w:val="00DF3A73"/>
    <w:rsid w:val="00E5734F"/>
    <w:rsid w:val="00EA6F85"/>
    <w:rsid w:val="00F24AFF"/>
    <w:rsid w:val="00F447CC"/>
    <w:rsid w:val="00F57D93"/>
    <w:rsid w:val="00F6646A"/>
    <w:rsid w:val="00F802E6"/>
    <w:rsid w:val="00F81F45"/>
    <w:rsid w:val="00F90121"/>
    <w:rsid w:val="00FC6AD2"/>
    <w:rsid w:val="00FF1C70"/>
    <w:rsid w:val="014E2FFC"/>
    <w:rsid w:val="018067FB"/>
    <w:rsid w:val="01B34B2E"/>
    <w:rsid w:val="01C012ED"/>
    <w:rsid w:val="02087E8A"/>
    <w:rsid w:val="02676EA3"/>
    <w:rsid w:val="02CF3817"/>
    <w:rsid w:val="02F70D3E"/>
    <w:rsid w:val="03426CDE"/>
    <w:rsid w:val="03941436"/>
    <w:rsid w:val="039C3694"/>
    <w:rsid w:val="03AA4003"/>
    <w:rsid w:val="03D35307"/>
    <w:rsid w:val="03F71BA1"/>
    <w:rsid w:val="04E71E7B"/>
    <w:rsid w:val="050E236F"/>
    <w:rsid w:val="05E84B26"/>
    <w:rsid w:val="06067B33"/>
    <w:rsid w:val="07B23486"/>
    <w:rsid w:val="082C148A"/>
    <w:rsid w:val="0902695E"/>
    <w:rsid w:val="0AB15C77"/>
    <w:rsid w:val="0AB64A67"/>
    <w:rsid w:val="0AF3628F"/>
    <w:rsid w:val="0B226B74"/>
    <w:rsid w:val="0B586ECD"/>
    <w:rsid w:val="0BA84D1F"/>
    <w:rsid w:val="0BAF35EB"/>
    <w:rsid w:val="0BBC2B25"/>
    <w:rsid w:val="0BC14113"/>
    <w:rsid w:val="0C014E42"/>
    <w:rsid w:val="0CCD5745"/>
    <w:rsid w:val="0D0522AA"/>
    <w:rsid w:val="0DA675E9"/>
    <w:rsid w:val="0DAD0977"/>
    <w:rsid w:val="0DE44D94"/>
    <w:rsid w:val="0DEF2B70"/>
    <w:rsid w:val="0DF90A77"/>
    <w:rsid w:val="0E112FE3"/>
    <w:rsid w:val="0EA16002"/>
    <w:rsid w:val="102B0279"/>
    <w:rsid w:val="10AC13BA"/>
    <w:rsid w:val="11CD56FD"/>
    <w:rsid w:val="1221208B"/>
    <w:rsid w:val="126900FF"/>
    <w:rsid w:val="12DA7EB3"/>
    <w:rsid w:val="12EB6ABD"/>
    <w:rsid w:val="136A10B9"/>
    <w:rsid w:val="13BD743A"/>
    <w:rsid w:val="141B7D86"/>
    <w:rsid w:val="143F2545"/>
    <w:rsid w:val="14A81E98"/>
    <w:rsid w:val="15BB5111"/>
    <w:rsid w:val="15F82AD1"/>
    <w:rsid w:val="15FA0341"/>
    <w:rsid w:val="166149F5"/>
    <w:rsid w:val="16EC0C92"/>
    <w:rsid w:val="171662DA"/>
    <w:rsid w:val="17E458DD"/>
    <w:rsid w:val="18F130E6"/>
    <w:rsid w:val="19502AFF"/>
    <w:rsid w:val="196547FC"/>
    <w:rsid w:val="198527A8"/>
    <w:rsid w:val="19E32D28"/>
    <w:rsid w:val="19E8066E"/>
    <w:rsid w:val="1A6E148E"/>
    <w:rsid w:val="1AA844E4"/>
    <w:rsid w:val="1B1D07A3"/>
    <w:rsid w:val="1B4301F5"/>
    <w:rsid w:val="1B52201F"/>
    <w:rsid w:val="1B5468D6"/>
    <w:rsid w:val="1B8952E8"/>
    <w:rsid w:val="1B955AA0"/>
    <w:rsid w:val="1BE525C3"/>
    <w:rsid w:val="1C1E6EE4"/>
    <w:rsid w:val="1C5D7A0C"/>
    <w:rsid w:val="1D9F5E03"/>
    <w:rsid w:val="1DA90A2F"/>
    <w:rsid w:val="1F417171"/>
    <w:rsid w:val="1F721A21"/>
    <w:rsid w:val="1F7A2683"/>
    <w:rsid w:val="202F346E"/>
    <w:rsid w:val="203B69C5"/>
    <w:rsid w:val="203C3A45"/>
    <w:rsid w:val="206155F1"/>
    <w:rsid w:val="20F16975"/>
    <w:rsid w:val="216929AF"/>
    <w:rsid w:val="21E27245"/>
    <w:rsid w:val="21EF25A1"/>
    <w:rsid w:val="22356D36"/>
    <w:rsid w:val="22B92A75"/>
    <w:rsid w:val="22D05511"/>
    <w:rsid w:val="230213B5"/>
    <w:rsid w:val="235D4796"/>
    <w:rsid w:val="23CA2704"/>
    <w:rsid w:val="24905CBE"/>
    <w:rsid w:val="24A3267C"/>
    <w:rsid w:val="24B163EE"/>
    <w:rsid w:val="258B55EA"/>
    <w:rsid w:val="26561EBD"/>
    <w:rsid w:val="27035C0D"/>
    <w:rsid w:val="27457A1B"/>
    <w:rsid w:val="277541FD"/>
    <w:rsid w:val="2879797C"/>
    <w:rsid w:val="289346E2"/>
    <w:rsid w:val="28B05368"/>
    <w:rsid w:val="291D11A6"/>
    <w:rsid w:val="29253AC9"/>
    <w:rsid w:val="2947571E"/>
    <w:rsid w:val="297D349C"/>
    <w:rsid w:val="2A422B80"/>
    <w:rsid w:val="2A943935"/>
    <w:rsid w:val="2AA4424D"/>
    <w:rsid w:val="2AAB5DE7"/>
    <w:rsid w:val="2ADA53BD"/>
    <w:rsid w:val="2C036AEC"/>
    <w:rsid w:val="2C181352"/>
    <w:rsid w:val="2CC33444"/>
    <w:rsid w:val="2CD01600"/>
    <w:rsid w:val="2CD86C3B"/>
    <w:rsid w:val="2D0D2D89"/>
    <w:rsid w:val="2D8F3C79"/>
    <w:rsid w:val="2EDF2503"/>
    <w:rsid w:val="2EFD67D5"/>
    <w:rsid w:val="2F2B399A"/>
    <w:rsid w:val="2F624D98"/>
    <w:rsid w:val="2F716F10"/>
    <w:rsid w:val="2F8920D1"/>
    <w:rsid w:val="30876B0C"/>
    <w:rsid w:val="30B654E5"/>
    <w:rsid w:val="30BD4AC6"/>
    <w:rsid w:val="30D1519F"/>
    <w:rsid w:val="310B00B0"/>
    <w:rsid w:val="31145803"/>
    <w:rsid w:val="31927D00"/>
    <w:rsid w:val="323B3EF4"/>
    <w:rsid w:val="325D7DA6"/>
    <w:rsid w:val="327E18C0"/>
    <w:rsid w:val="32E5730D"/>
    <w:rsid w:val="335F6FD7"/>
    <w:rsid w:val="33751688"/>
    <w:rsid w:val="33A81C4F"/>
    <w:rsid w:val="33AF5A2C"/>
    <w:rsid w:val="344328DA"/>
    <w:rsid w:val="344828F8"/>
    <w:rsid w:val="353A0493"/>
    <w:rsid w:val="354E3F3E"/>
    <w:rsid w:val="356B4AF0"/>
    <w:rsid w:val="35710419"/>
    <w:rsid w:val="35984C62"/>
    <w:rsid w:val="35C366DA"/>
    <w:rsid w:val="35E00709"/>
    <w:rsid w:val="36992A33"/>
    <w:rsid w:val="37973447"/>
    <w:rsid w:val="37CB7AC8"/>
    <w:rsid w:val="384D672F"/>
    <w:rsid w:val="388008B3"/>
    <w:rsid w:val="398C3287"/>
    <w:rsid w:val="3A4E5E73"/>
    <w:rsid w:val="3A773231"/>
    <w:rsid w:val="3B033499"/>
    <w:rsid w:val="3BAF3C8C"/>
    <w:rsid w:val="3BCA5396"/>
    <w:rsid w:val="3C3A346E"/>
    <w:rsid w:val="3C5713EF"/>
    <w:rsid w:val="3C9909CB"/>
    <w:rsid w:val="3CB60D47"/>
    <w:rsid w:val="3CED27C1"/>
    <w:rsid w:val="3D167A38"/>
    <w:rsid w:val="3DE2791A"/>
    <w:rsid w:val="3E1E58F4"/>
    <w:rsid w:val="3E3126D7"/>
    <w:rsid w:val="3E4B3711"/>
    <w:rsid w:val="3EA14CF7"/>
    <w:rsid w:val="3EF1346A"/>
    <w:rsid w:val="3F2B709E"/>
    <w:rsid w:val="3FDE5E38"/>
    <w:rsid w:val="3FE7751D"/>
    <w:rsid w:val="40970E8F"/>
    <w:rsid w:val="40E957CE"/>
    <w:rsid w:val="416C5E78"/>
    <w:rsid w:val="419420A5"/>
    <w:rsid w:val="428C42F8"/>
    <w:rsid w:val="429F402B"/>
    <w:rsid w:val="431A7B56"/>
    <w:rsid w:val="43A109CA"/>
    <w:rsid w:val="43C548F8"/>
    <w:rsid w:val="43E04AA9"/>
    <w:rsid w:val="43E56E67"/>
    <w:rsid w:val="43F403A7"/>
    <w:rsid w:val="440C749E"/>
    <w:rsid w:val="4412168D"/>
    <w:rsid w:val="447239FF"/>
    <w:rsid w:val="449D4CF3"/>
    <w:rsid w:val="44F13FE4"/>
    <w:rsid w:val="450D1EE5"/>
    <w:rsid w:val="45B1087E"/>
    <w:rsid w:val="45FA141B"/>
    <w:rsid w:val="462A00B0"/>
    <w:rsid w:val="46362052"/>
    <w:rsid w:val="463D76E9"/>
    <w:rsid w:val="46660A11"/>
    <w:rsid w:val="46924498"/>
    <w:rsid w:val="46A149F9"/>
    <w:rsid w:val="46EB5A91"/>
    <w:rsid w:val="47264561"/>
    <w:rsid w:val="47CB169C"/>
    <w:rsid w:val="487D096B"/>
    <w:rsid w:val="48E63709"/>
    <w:rsid w:val="4926121D"/>
    <w:rsid w:val="4A5166FB"/>
    <w:rsid w:val="4A7162AD"/>
    <w:rsid w:val="4A875AD1"/>
    <w:rsid w:val="4AA20B5D"/>
    <w:rsid w:val="4AC8226D"/>
    <w:rsid w:val="4AE44CD1"/>
    <w:rsid w:val="4AFD5D93"/>
    <w:rsid w:val="4B1410C5"/>
    <w:rsid w:val="4B517345"/>
    <w:rsid w:val="4B75001F"/>
    <w:rsid w:val="4BC5072B"/>
    <w:rsid w:val="4C3017AD"/>
    <w:rsid w:val="4D057181"/>
    <w:rsid w:val="4D72654C"/>
    <w:rsid w:val="4DDC6134"/>
    <w:rsid w:val="4F243CFE"/>
    <w:rsid w:val="512A5408"/>
    <w:rsid w:val="51B7313F"/>
    <w:rsid w:val="521417A5"/>
    <w:rsid w:val="5221680B"/>
    <w:rsid w:val="5240424F"/>
    <w:rsid w:val="52776BE3"/>
    <w:rsid w:val="52CE14E9"/>
    <w:rsid w:val="53452570"/>
    <w:rsid w:val="53460A90"/>
    <w:rsid w:val="539A4AC7"/>
    <w:rsid w:val="53B15D31"/>
    <w:rsid w:val="53DB56FF"/>
    <w:rsid w:val="54295E4B"/>
    <w:rsid w:val="54DC0112"/>
    <w:rsid w:val="55001CD1"/>
    <w:rsid w:val="5537796E"/>
    <w:rsid w:val="55432F3C"/>
    <w:rsid w:val="558C4C28"/>
    <w:rsid w:val="55F42D0A"/>
    <w:rsid w:val="561B56E8"/>
    <w:rsid w:val="561D553B"/>
    <w:rsid w:val="571933D9"/>
    <w:rsid w:val="573828A1"/>
    <w:rsid w:val="5739252B"/>
    <w:rsid w:val="57C76E13"/>
    <w:rsid w:val="57F86260"/>
    <w:rsid w:val="58CC7BC3"/>
    <w:rsid w:val="591F00EB"/>
    <w:rsid w:val="59A60BE8"/>
    <w:rsid w:val="59B2752E"/>
    <w:rsid w:val="5AC10B8B"/>
    <w:rsid w:val="5ADD202C"/>
    <w:rsid w:val="5B527A35"/>
    <w:rsid w:val="5BDD385A"/>
    <w:rsid w:val="5C1E3DBB"/>
    <w:rsid w:val="5C212B2F"/>
    <w:rsid w:val="5C8005D2"/>
    <w:rsid w:val="5CDC6150"/>
    <w:rsid w:val="5D3A2E77"/>
    <w:rsid w:val="5D9F097F"/>
    <w:rsid w:val="5DB62102"/>
    <w:rsid w:val="5E773F50"/>
    <w:rsid w:val="5F59269F"/>
    <w:rsid w:val="5F74469D"/>
    <w:rsid w:val="5F990328"/>
    <w:rsid w:val="5FB47CA6"/>
    <w:rsid w:val="60012AB1"/>
    <w:rsid w:val="602C2F4B"/>
    <w:rsid w:val="60303259"/>
    <w:rsid w:val="60344262"/>
    <w:rsid w:val="60F35816"/>
    <w:rsid w:val="620B3877"/>
    <w:rsid w:val="62944DD7"/>
    <w:rsid w:val="63885753"/>
    <w:rsid w:val="63DA28EB"/>
    <w:rsid w:val="641937E6"/>
    <w:rsid w:val="641B5479"/>
    <w:rsid w:val="64753501"/>
    <w:rsid w:val="648669A1"/>
    <w:rsid w:val="64C85A75"/>
    <w:rsid w:val="64F8164D"/>
    <w:rsid w:val="654D1183"/>
    <w:rsid w:val="655310D6"/>
    <w:rsid w:val="660563ED"/>
    <w:rsid w:val="668B59E9"/>
    <w:rsid w:val="67A4735B"/>
    <w:rsid w:val="67C829C4"/>
    <w:rsid w:val="684D1CB0"/>
    <w:rsid w:val="697244BA"/>
    <w:rsid w:val="69E00902"/>
    <w:rsid w:val="6A551F5B"/>
    <w:rsid w:val="6A62445E"/>
    <w:rsid w:val="6A7E61AA"/>
    <w:rsid w:val="6B377DA7"/>
    <w:rsid w:val="6BB671F3"/>
    <w:rsid w:val="6C24541E"/>
    <w:rsid w:val="6CF51986"/>
    <w:rsid w:val="6E1534A6"/>
    <w:rsid w:val="6E3A7C42"/>
    <w:rsid w:val="6E4E45ED"/>
    <w:rsid w:val="6E504BCD"/>
    <w:rsid w:val="6E755372"/>
    <w:rsid w:val="6EAC5256"/>
    <w:rsid w:val="6EEE729B"/>
    <w:rsid w:val="6F3F5890"/>
    <w:rsid w:val="6F6A3607"/>
    <w:rsid w:val="6F6C089D"/>
    <w:rsid w:val="6FA67E6B"/>
    <w:rsid w:val="6FA908A8"/>
    <w:rsid w:val="7074351C"/>
    <w:rsid w:val="715E3434"/>
    <w:rsid w:val="71F71048"/>
    <w:rsid w:val="71FE5255"/>
    <w:rsid w:val="722B4F3E"/>
    <w:rsid w:val="72B017B9"/>
    <w:rsid w:val="730A7386"/>
    <w:rsid w:val="73BA4A38"/>
    <w:rsid w:val="74081181"/>
    <w:rsid w:val="746A4931"/>
    <w:rsid w:val="748C3E82"/>
    <w:rsid w:val="74934346"/>
    <w:rsid w:val="74C0656D"/>
    <w:rsid w:val="74CA3FDF"/>
    <w:rsid w:val="753E0255"/>
    <w:rsid w:val="75901DC7"/>
    <w:rsid w:val="75B365C9"/>
    <w:rsid w:val="75DF36FF"/>
    <w:rsid w:val="771B5613"/>
    <w:rsid w:val="78487A21"/>
    <w:rsid w:val="78774B27"/>
    <w:rsid w:val="788B0135"/>
    <w:rsid w:val="78984AD4"/>
    <w:rsid w:val="78E26444"/>
    <w:rsid w:val="792E11EF"/>
    <w:rsid w:val="796C7B5E"/>
    <w:rsid w:val="79F04B91"/>
    <w:rsid w:val="79FB0610"/>
    <w:rsid w:val="7AAC0AB8"/>
    <w:rsid w:val="7B145C2F"/>
    <w:rsid w:val="7B604C9B"/>
    <w:rsid w:val="7C120DEF"/>
    <w:rsid w:val="7C921F30"/>
    <w:rsid w:val="7CBF7C58"/>
    <w:rsid w:val="7CDD6705"/>
    <w:rsid w:val="7D37450C"/>
    <w:rsid w:val="7DEC3E16"/>
    <w:rsid w:val="7E247D05"/>
    <w:rsid w:val="7EC408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35" w:semiHidden="0" w:name="caption"/>
    <w:lsdException w:qFormat="1" w:uiPriority="0"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1"/>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7"/>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4"/>
    <w:link w:val="68"/>
    <w:qFormat/>
    <w:uiPriority w:val="0"/>
    <w:pPr>
      <w:keepNext/>
      <w:keepLines/>
      <w:spacing w:before="260" w:after="260" w:line="413" w:lineRule="auto"/>
      <w:outlineLvl w:val="1"/>
    </w:pPr>
    <w:rPr>
      <w:rFonts w:ascii="Arial" w:hAnsi="Arial" w:eastAsia="黑体"/>
      <w:b/>
      <w:sz w:val="32"/>
      <w:szCs w:val="20"/>
    </w:rPr>
  </w:style>
  <w:style w:type="paragraph" w:styleId="5">
    <w:name w:val="heading 3"/>
    <w:basedOn w:val="6"/>
    <w:next w:val="7"/>
    <w:link w:val="70"/>
    <w:qFormat/>
    <w:uiPriority w:val="0"/>
    <w:pPr>
      <w:keepNext/>
      <w:keepLines/>
      <w:spacing w:before="320" w:after="200"/>
      <w:outlineLvl w:val="2"/>
    </w:pPr>
    <w:rPr>
      <w:rFonts w:ascii="Arial" w:hAnsi="Arial" w:eastAsia="Arial" w:cs="Arial"/>
      <w:sz w:val="30"/>
      <w:szCs w:val="30"/>
    </w:rPr>
  </w:style>
  <w:style w:type="paragraph" w:styleId="11">
    <w:name w:val="heading 4"/>
    <w:basedOn w:val="1"/>
    <w:next w:val="1"/>
    <w:link w:val="71"/>
    <w:qFormat/>
    <w:uiPriority w:val="0"/>
    <w:pPr>
      <w:keepNext/>
      <w:jc w:val="center"/>
      <w:outlineLvl w:val="3"/>
    </w:pPr>
    <w:rPr>
      <w:rFonts w:eastAsia="新宋体"/>
      <w:sz w:val="30"/>
      <w:szCs w:val="21"/>
    </w:rPr>
  </w:style>
  <w:style w:type="paragraph" w:styleId="12">
    <w:name w:val="heading 5"/>
    <w:basedOn w:val="1"/>
    <w:next w:val="1"/>
    <w:link w:val="72"/>
    <w:qFormat/>
    <w:uiPriority w:val="0"/>
    <w:pPr>
      <w:keepNext/>
      <w:keepLines/>
      <w:spacing w:before="320" w:after="200"/>
      <w:outlineLvl w:val="4"/>
    </w:pPr>
    <w:rPr>
      <w:rFonts w:ascii="Arial" w:hAnsi="Arial" w:eastAsia="Arial" w:cs="Arial"/>
      <w:b/>
      <w:bCs/>
      <w:sz w:val="24"/>
      <w:szCs w:val="24"/>
    </w:rPr>
  </w:style>
  <w:style w:type="paragraph" w:styleId="13">
    <w:name w:val="heading 6"/>
    <w:basedOn w:val="1"/>
    <w:next w:val="1"/>
    <w:link w:val="73"/>
    <w:qFormat/>
    <w:uiPriority w:val="0"/>
    <w:pPr>
      <w:keepNext/>
      <w:keepLines/>
      <w:spacing w:before="320" w:after="200"/>
      <w:outlineLvl w:val="5"/>
    </w:pPr>
    <w:rPr>
      <w:rFonts w:ascii="Arial" w:hAnsi="Arial" w:eastAsia="Arial" w:cs="Arial"/>
      <w:b/>
      <w:bCs/>
      <w:sz w:val="22"/>
    </w:rPr>
  </w:style>
  <w:style w:type="paragraph" w:styleId="14">
    <w:name w:val="heading 7"/>
    <w:basedOn w:val="1"/>
    <w:next w:val="1"/>
    <w:link w:val="74"/>
    <w:qFormat/>
    <w:uiPriority w:val="0"/>
    <w:pPr>
      <w:keepNext/>
      <w:keepLines/>
      <w:spacing w:before="320" w:after="200"/>
      <w:outlineLvl w:val="6"/>
    </w:pPr>
    <w:rPr>
      <w:rFonts w:ascii="Arial" w:hAnsi="Arial" w:eastAsia="Arial" w:cs="Arial"/>
      <w:b/>
      <w:bCs/>
      <w:i/>
      <w:iCs/>
      <w:sz w:val="22"/>
    </w:rPr>
  </w:style>
  <w:style w:type="paragraph" w:styleId="15">
    <w:name w:val="heading 8"/>
    <w:basedOn w:val="1"/>
    <w:next w:val="1"/>
    <w:link w:val="75"/>
    <w:qFormat/>
    <w:uiPriority w:val="0"/>
    <w:pPr>
      <w:keepNext/>
      <w:keepLines/>
      <w:spacing w:before="320" w:after="200"/>
      <w:outlineLvl w:val="7"/>
    </w:pPr>
    <w:rPr>
      <w:rFonts w:ascii="Arial" w:hAnsi="Arial" w:eastAsia="Arial" w:cs="Arial"/>
      <w:i/>
      <w:iCs/>
      <w:sz w:val="22"/>
    </w:rPr>
  </w:style>
  <w:style w:type="paragraph" w:styleId="16">
    <w:name w:val="heading 9"/>
    <w:basedOn w:val="1"/>
    <w:next w:val="1"/>
    <w:link w:val="76"/>
    <w:qFormat/>
    <w:uiPriority w:val="0"/>
    <w:pPr>
      <w:keepNext/>
      <w:keepLines/>
      <w:spacing w:before="320" w:after="200"/>
      <w:outlineLvl w:val="8"/>
    </w:pPr>
    <w:rPr>
      <w:rFonts w:ascii="Arial" w:hAnsi="Arial" w:eastAsia="Arial" w:cs="Arial"/>
      <w:i/>
      <w:iCs/>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9"/>
    <w:qFormat/>
    <w:uiPriority w:val="0"/>
    <w:pPr>
      <w:ind w:firstLine="420"/>
    </w:pPr>
    <w:rPr>
      <w:rFonts w:ascii="宋体"/>
      <w:color w:val="000000"/>
      <w:sz w:val="24"/>
      <w:szCs w:val="20"/>
    </w:rPr>
  </w:style>
  <w:style w:type="paragraph" w:customStyle="1" w:styleId="6">
    <w:name w:val="Normal1"/>
    <w:next w:val="5"/>
    <w:qFormat/>
    <w:uiPriority w:val="0"/>
    <w:pPr>
      <w:widowControl w:val="0"/>
      <w:jc w:val="both"/>
    </w:pPr>
    <w:rPr>
      <w:rFonts w:ascii="Calibri" w:hAnsi="Calibri" w:eastAsia="宋体" w:cs="Times New Roman"/>
      <w:sz w:val="21"/>
      <w:szCs w:val="22"/>
      <w:lang w:val="en-US" w:eastAsia="zh-CN" w:bidi="ar-SA"/>
    </w:rPr>
  </w:style>
  <w:style w:type="paragraph" w:customStyle="1" w:styleId="7">
    <w:name w:val="Normal_19"/>
    <w:next w:val="8"/>
    <w:qFormat/>
    <w:uiPriority w:val="0"/>
    <w:rPr>
      <w:rFonts w:ascii="黑体" w:hAnsi="黑体" w:eastAsia="黑体" w:cs="黑体"/>
      <w:b/>
      <w:sz w:val="32"/>
      <w:szCs w:val="24"/>
      <w:lang w:val="en-US" w:eastAsia="zh-CN" w:bidi="ar-SA"/>
    </w:rPr>
  </w:style>
  <w:style w:type="paragraph" w:customStyle="1" w:styleId="8">
    <w:name w:val="正文1"/>
    <w:next w:val="9"/>
    <w:qFormat/>
    <w:uiPriority w:val="0"/>
    <w:pPr>
      <w:widowControl w:val="0"/>
      <w:jc w:val="both"/>
    </w:pPr>
    <w:rPr>
      <w:rFonts w:ascii="Times New Roman" w:hAnsi="Times New Roman" w:eastAsia="宋体" w:cs="Times New Roman"/>
      <w:szCs w:val="21"/>
      <w:lang w:val="en-US" w:eastAsia="zh-CN" w:bidi="ar-SA"/>
    </w:rPr>
  </w:style>
  <w:style w:type="paragraph" w:customStyle="1" w:styleId="9">
    <w:name w:val="Body Text First Indent1"/>
    <w:basedOn w:val="10"/>
    <w:unhideWhenUsed/>
    <w:qFormat/>
    <w:uiPriority w:val="99"/>
    <w:pPr>
      <w:ind w:firstLine="420" w:firstLineChars="100"/>
    </w:pPr>
  </w:style>
  <w:style w:type="paragraph" w:customStyle="1" w:styleId="10">
    <w:name w:val="Body Text1"/>
    <w:basedOn w:val="8"/>
    <w:unhideWhenUsed/>
    <w:qFormat/>
    <w:uiPriority w:val="99"/>
    <w:pPr>
      <w:spacing w:after="120"/>
    </w:pPr>
  </w:style>
  <w:style w:type="paragraph" w:styleId="17">
    <w:name w:val="List 3"/>
    <w:basedOn w:val="1"/>
    <w:qFormat/>
    <w:uiPriority w:val="0"/>
    <w:pPr>
      <w:ind w:left="100" w:hanging="200"/>
    </w:pPr>
    <w:rPr>
      <w:rFonts w:ascii="Times New Roman" w:hAnsi="Times New Roman"/>
      <w:szCs w:val="21"/>
    </w:rPr>
  </w:style>
  <w:style w:type="paragraph" w:styleId="18">
    <w:name w:val="toc 7"/>
    <w:basedOn w:val="1"/>
    <w:next w:val="1"/>
    <w:unhideWhenUsed/>
    <w:qFormat/>
    <w:uiPriority w:val="0"/>
    <w:pPr>
      <w:spacing w:after="57"/>
      <w:ind w:left="1701"/>
    </w:pPr>
  </w:style>
  <w:style w:type="paragraph" w:styleId="19">
    <w:name w:val="caption"/>
    <w:basedOn w:val="1"/>
    <w:next w:val="1"/>
    <w:qFormat/>
    <w:uiPriority w:val="35"/>
    <w:pPr>
      <w:spacing w:line="276" w:lineRule="auto"/>
    </w:pPr>
    <w:rPr>
      <w:b/>
      <w:bCs/>
      <w:color w:val="5B9BD5"/>
      <w:sz w:val="18"/>
      <w:szCs w:val="18"/>
    </w:rPr>
  </w:style>
  <w:style w:type="paragraph" w:styleId="20">
    <w:name w:val="Document Map"/>
    <w:basedOn w:val="1"/>
    <w:link w:val="77"/>
    <w:semiHidden/>
    <w:qFormat/>
    <w:uiPriority w:val="0"/>
    <w:pPr>
      <w:shd w:val="clear" w:color="auto" w:fill="000080"/>
    </w:pPr>
    <w:rPr>
      <w:rFonts w:ascii="Times New Roman" w:hAnsi="Times New Roman"/>
      <w:szCs w:val="21"/>
    </w:rPr>
  </w:style>
  <w:style w:type="paragraph" w:styleId="21">
    <w:name w:val="annotation text"/>
    <w:basedOn w:val="1"/>
    <w:link w:val="78"/>
    <w:semiHidden/>
    <w:qFormat/>
    <w:uiPriority w:val="0"/>
    <w:pPr>
      <w:jc w:val="left"/>
    </w:pPr>
    <w:rPr>
      <w:rFonts w:ascii="Times New Roman" w:hAnsi="Times New Roman"/>
      <w:szCs w:val="21"/>
    </w:rPr>
  </w:style>
  <w:style w:type="paragraph" w:styleId="22">
    <w:name w:val="Body Text 3"/>
    <w:basedOn w:val="1"/>
    <w:link w:val="79"/>
    <w:qFormat/>
    <w:uiPriority w:val="0"/>
    <w:rPr>
      <w:rFonts w:ascii="仿宋_GB2312" w:hAnsi="Arial" w:eastAsia="仿宋_GB2312"/>
      <w:sz w:val="32"/>
      <w:szCs w:val="32"/>
    </w:rPr>
  </w:style>
  <w:style w:type="paragraph" w:styleId="23">
    <w:name w:val="Body Text"/>
    <w:basedOn w:val="1"/>
    <w:semiHidden/>
    <w:qFormat/>
    <w:uiPriority w:val="0"/>
    <w:rPr>
      <w:rFonts w:ascii="仿宋" w:hAnsi="仿宋" w:eastAsia="仿宋" w:cs="仿宋"/>
      <w:sz w:val="32"/>
      <w:szCs w:val="32"/>
      <w:lang w:eastAsia="en-US"/>
    </w:rPr>
  </w:style>
  <w:style w:type="paragraph" w:styleId="24">
    <w:name w:val="Body Text Indent"/>
    <w:basedOn w:val="1"/>
    <w:next w:val="1"/>
    <w:link w:val="80"/>
    <w:qFormat/>
    <w:uiPriority w:val="0"/>
    <w:pPr>
      <w:ind w:firstLine="225"/>
    </w:pPr>
    <w:rPr>
      <w:rFonts w:ascii="仿宋_GB2312" w:eastAsia="仿宋_GB2312"/>
      <w:sz w:val="32"/>
    </w:rPr>
  </w:style>
  <w:style w:type="paragraph" w:styleId="25">
    <w:name w:val="List 2"/>
    <w:basedOn w:val="1"/>
    <w:qFormat/>
    <w:uiPriority w:val="0"/>
    <w:pPr>
      <w:ind w:left="100" w:hanging="200"/>
    </w:pPr>
    <w:rPr>
      <w:rFonts w:ascii="Times New Roman" w:hAnsi="Times New Roman"/>
      <w:szCs w:val="21"/>
    </w:rPr>
  </w:style>
  <w:style w:type="paragraph" w:styleId="26">
    <w:name w:val="index 4"/>
    <w:basedOn w:val="1"/>
    <w:next w:val="1"/>
    <w:qFormat/>
    <w:uiPriority w:val="0"/>
    <w:pPr>
      <w:ind w:left="600" w:leftChars="600"/>
    </w:pPr>
  </w:style>
  <w:style w:type="paragraph" w:styleId="27">
    <w:name w:val="toc 5"/>
    <w:basedOn w:val="1"/>
    <w:next w:val="1"/>
    <w:unhideWhenUsed/>
    <w:qFormat/>
    <w:uiPriority w:val="0"/>
    <w:pPr>
      <w:spacing w:after="57"/>
      <w:ind w:left="1134"/>
    </w:pPr>
  </w:style>
  <w:style w:type="paragraph" w:styleId="28">
    <w:name w:val="toc 3"/>
    <w:basedOn w:val="1"/>
    <w:next w:val="1"/>
    <w:unhideWhenUsed/>
    <w:qFormat/>
    <w:uiPriority w:val="0"/>
    <w:pPr>
      <w:spacing w:after="57"/>
      <w:ind w:left="567"/>
    </w:pPr>
  </w:style>
  <w:style w:type="paragraph" w:styleId="29">
    <w:name w:val="Plain Text"/>
    <w:basedOn w:val="1"/>
    <w:link w:val="81"/>
    <w:qFormat/>
    <w:uiPriority w:val="0"/>
    <w:rPr>
      <w:rFonts w:ascii="宋体" w:hAnsi="Courier New" w:cs="Courier New"/>
      <w:szCs w:val="21"/>
    </w:rPr>
  </w:style>
  <w:style w:type="paragraph" w:styleId="30">
    <w:name w:val="toc 8"/>
    <w:basedOn w:val="1"/>
    <w:next w:val="1"/>
    <w:unhideWhenUsed/>
    <w:qFormat/>
    <w:uiPriority w:val="0"/>
    <w:pPr>
      <w:spacing w:after="57"/>
      <w:ind w:left="1984"/>
    </w:pPr>
  </w:style>
  <w:style w:type="paragraph" w:styleId="31">
    <w:name w:val="Date"/>
    <w:basedOn w:val="1"/>
    <w:next w:val="1"/>
    <w:link w:val="82"/>
    <w:qFormat/>
    <w:uiPriority w:val="0"/>
    <w:rPr>
      <w:rFonts w:ascii="Times New Roman" w:hAnsi="Times New Roman"/>
      <w:sz w:val="24"/>
      <w:szCs w:val="24"/>
    </w:rPr>
  </w:style>
  <w:style w:type="paragraph" w:styleId="32">
    <w:name w:val="Body Text Indent 2"/>
    <w:basedOn w:val="1"/>
    <w:link w:val="83"/>
    <w:qFormat/>
    <w:uiPriority w:val="0"/>
    <w:pPr>
      <w:ind w:left="630" w:firstLine="645"/>
    </w:pPr>
    <w:rPr>
      <w:rFonts w:ascii="Arial" w:hAnsi="Arial" w:eastAsia="仿宋_GB2312" w:cs="Arial"/>
      <w:sz w:val="32"/>
      <w:szCs w:val="32"/>
    </w:rPr>
  </w:style>
  <w:style w:type="paragraph" w:styleId="33">
    <w:name w:val="endnote text"/>
    <w:basedOn w:val="1"/>
    <w:link w:val="84"/>
    <w:unhideWhenUsed/>
    <w:qFormat/>
    <w:uiPriority w:val="99"/>
    <w:rPr>
      <w:sz w:val="20"/>
    </w:rPr>
  </w:style>
  <w:style w:type="paragraph" w:styleId="34">
    <w:name w:val="Balloon Text"/>
    <w:basedOn w:val="1"/>
    <w:link w:val="85"/>
    <w:qFormat/>
    <w:uiPriority w:val="0"/>
    <w:rPr>
      <w:rFonts w:ascii="Times New Roman" w:hAnsi="Times New Roman"/>
      <w:sz w:val="18"/>
      <w:szCs w:val="18"/>
    </w:rPr>
  </w:style>
  <w:style w:type="paragraph" w:styleId="35">
    <w:name w:val="footer"/>
    <w:basedOn w:val="1"/>
    <w:link w:val="86"/>
    <w:qFormat/>
    <w:uiPriority w:val="99"/>
    <w:pPr>
      <w:tabs>
        <w:tab w:val="center" w:pos="4153"/>
        <w:tab w:val="right" w:pos="8306"/>
      </w:tabs>
      <w:jc w:val="left"/>
    </w:pPr>
    <w:rPr>
      <w:sz w:val="18"/>
      <w:szCs w:val="18"/>
    </w:rPr>
  </w:style>
  <w:style w:type="paragraph" w:styleId="36">
    <w:name w:val="header"/>
    <w:basedOn w:val="1"/>
    <w:link w:val="87"/>
    <w:qFormat/>
    <w:uiPriority w:val="0"/>
    <w:pPr>
      <w:tabs>
        <w:tab w:val="center" w:pos="4153"/>
        <w:tab w:val="right" w:pos="8306"/>
      </w:tabs>
      <w:jc w:val="center"/>
    </w:pPr>
    <w:rPr>
      <w:sz w:val="18"/>
      <w:szCs w:val="18"/>
    </w:rPr>
  </w:style>
  <w:style w:type="paragraph" w:styleId="37">
    <w:name w:val="toc 1"/>
    <w:basedOn w:val="1"/>
    <w:next w:val="1"/>
    <w:qFormat/>
    <w:uiPriority w:val="0"/>
    <w:pPr>
      <w:spacing w:before="120" w:after="120"/>
      <w:jc w:val="left"/>
    </w:pPr>
    <w:rPr>
      <w:rFonts w:cs="Calibri"/>
      <w:b/>
      <w:bCs/>
      <w:caps/>
      <w:sz w:val="20"/>
      <w:szCs w:val="20"/>
    </w:rPr>
  </w:style>
  <w:style w:type="paragraph" w:styleId="38">
    <w:name w:val="toc 4"/>
    <w:basedOn w:val="1"/>
    <w:next w:val="1"/>
    <w:unhideWhenUsed/>
    <w:qFormat/>
    <w:uiPriority w:val="0"/>
    <w:pPr>
      <w:spacing w:after="57"/>
      <w:ind w:left="850"/>
    </w:pPr>
  </w:style>
  <w:style w:type="paragraph" w:styleId="39">
    <w:name w:val="Subtitle"/>
    <w:basedOn w:val="1"/>
    <w:next w:val="1"/>
    <w:link w:val="88"/>
    <w:qFormat/>
    <w:uiPriority w:val="11"/>
    <w:pPr>
      <w:spacing w:before="200" w:after="200"/>
    </w:pPr>
    <w:rPr>
      <w:sz w:val="24"/>
      <w:szCs w:val="24"/>
    </w:rPr>
  </w:style>
  <w:style w:type="paragraph" w:styleId="40">
    <w:name w:val="List"/>
    <w:basedOn w:val="1"/>
    <w:qFormat/>
    <w:uiPriority w:val="0"/>
    <w:pPr>
      <w:ind w:left="200" w:hanging="200"/>
    </w:pPr>
    <w:rPr>
      <w:rFonts w:ascii="Times New Roman" w:hAnsi="Times New Roman"/>
      <w:szCs w:val="21"/>
    </w:rPr>
  </w:style>
  <w:style w:type="paragraph" w:styleId="41">
    <w:name w:val="footnote text"/>
    <w:basedOn w:val="1"/>
    <w:link w:val="89"/>
    <w:unhideWhenUsed/>
    <w:qFormat/>
    <w:uiPriority w:val="99"/>
    <w:pPr>
      <w:spacing w:after="40"/>
    </w:pPr>
    <w:rPr>
      <w:sz w:val="18"/>
    </w:rPr>
  </w:style>
  <w:style w:type="paragraph" w:styleId="42">
    <w:name w:val="toc 6"/>
    <w:basedOn w:val="1"/>
    <w:next w:val="1"/>
    <w:unhideWhenUsed/>
    <w:qFormat/>
    <w:uiPriority w:val="0"/>
    <w:pPr>
      <w:spacing w:after="57"/>
      <w:ind w:left="1417"/>
    </w:pPr>
  </w:style>
  <w:style w:type="paragraph" w:styleId="43">
    <w:name w:val="Body Text Indent 3"/>
    <w:basedOn w:val="1"/>
    <w:link w:val="90"/>
    <w:qFormat/>
    <w:uiPriority w:val="0"/>
    <w:pPr>
      <w:ind w:left="645" w:firstLine="645"/>
    </w:pPr>
    <w:rPr>
      <w:rFonts w:ascii="Arial" w:hAnsi="Arial" w:eastAsia="仿宋_GB2312" w:cs="Arial"/>
      <w:color w:val="FFFF00"/>
      <w:sz w:val="32"/>
      <w:szCs w:val="32"/>
    </w:rPr>
  </w:style>
  <w:style w:type="paragraph" w:styleId="44">
    <w:name w:val="table of figures"/>
    <w:basedOn w:val="1"/>
    <w:next w:val="1"/>
    <w:unhideWhenUsed/>
    <w:qFormat/>
    <w:uiPriority w:val="0"/>
  </w:style>
  <w:style w:type="paragraph" w:styleId="45">
    <w:name w:val="toc 2"/>
    <w:basedOn w:val="1"/>
    <w:next w:val="1"/>
    <w:qFormat/>
    <w:uiPriority w:val="0"/>
    <w:pPr>
      <w:ind w:left="210"/>
      <w:jc w:val="left"/>
    </w:pPr>
    <w:rPr>
      <w:rFonts w:cs="Calibri"/>
      <w:smallCaps/>
      <w:sz w:val="20"/>
      <w:szCs w:val="20"/>
    </w:rPr>
  </w:style>
  <w:style w:type="paragraph" w:styleId="46">
    <w:name w:val="toc 9"/>
    <w:basedOn w:val="1"/>
    <w:next w:val="1"/>
    <w:unhideWhenUsed/>
    <w:qFormat/>
    <w:uiPriority w:val="0"/>
    <w:pPr>
      <w:spacing w:after="57"/>
      <w:ind w:left="2268"/>
    </w:pPr>
  </w:style>
  <w:style w:type="paragraph" w:styleId="47">
    <w:name w:val="Body Text 2"/>
    <w:basedOn w:val="1"/>
    <w:link w:val="91"/>
    <w:qFormat/>
    <w:uiPriority w:val="0"/>
    <w:pPr>
      <w:widowControl/>
      <w:jc w:val="center"/>
    </w:pPr>
    <w:rPr>
      <w:rFonts w:ascii="楷体_GB2312" w:hAnsi="Times New Roman" w:eastAsia="楷体_GB2312"/>
      <w:sz w:val="28"/>
      <w:szCs w:val="28"/>
    </w:rPr>
  </w:style>
  <w:style w:type="paragraph" w:styleId="48">
    <w:name w:val="HTML Preformatted"/>
    <w:basedOn w:val="1"/>
    <w:link w:val="9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4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0">
    <w:name w:val="index 1"/>
    <w:basedOn w:val="1"/>
    <w:next w:val="1"/>
    <w:semiHidden/>
    <w:qFormat/>
    <w:uiPriority w:val="0"/>
    <w:pPr>
      <w:spacing w:line="240" w:lineRule="atLeast"/>
    </w:pPr>
    <w:rPr>
      <w:rFonts w:ascii="Times New Roman" w:hAnsi="Times New Roman"/>
      <w:b/>
      <w:bCs/>
      <w:szCs w:val="21"/>
    </w:rPr>
  </w:style>
  <w:style w:type="paragraph" w:styleId="51">
    <w:name w:val="Title"/>
    <w:basedOn w:val="1"/>
    <w:next w:val="1"/>
    <w:link w:val="93"/>
    <w:qFormat/>
    <w:uiPriority w:val="10"/>
    <w:pPr>
      <w:spacing w:before="300" w:after="200"/>
      <w:contextualSpacing/>
    </w:pPr>
    <w:rPr>
      <w:sz w:val="48"/>
      <w:szCs w:val="48"/>
    </w:rPr>
  </w:style>
  <w:style w:type="paragraph" w:styleId="52">
    <w:name w:val="annotation subject"/>
    <w:basedOn w:val="21"/>
    <w:next w:val="21"/>
    <w:link w:val="94"/>
    <w:semiHidden/>
    <w:qFormat/>
    <w:uiPriority w:val="0"/>
    <w:rPr>
      <w:b/>
      <w:bCs/>
    </w:rPr>
  </w:style>
  <w:style w:type="paragraph" w:styleId="53">
    <w:name w:val="Body Text First Indent"/>
    <w:basedOn w:val="23"/>
    <w:next w:val="1"/>
    <w:qFormat/>
    <w:uiPriority w:val="0"/>
    <w:pPr>
      <w:spacing w:line="360" w:lineRule="auto"/>
      <w:ind w:firstLine="200" w:firstLineChars="200"/>
    </w:pPr>
    <w:rPr>
      <w:rFonts w:ascii="仿宋_GB2312" w:hAnsi="Times New Roman" w:eastAsia="仿宋_GB2312"/>
      <w:sz w:val="30"/>
      <w:szCs w:val="30"/>
    </w:rPr>
  </w:style>
  <w:style w:type="paragraph" w:styleId="54">
    <w:name w:val="Body Text First Indent 2"/>
    <w:basedOn w:val="24"/>
    <w:link w:val="95"/>
    <w:qFormat/>
    <w:uiPriority w:val="0"/>
    <w:pPr>
      <w:spacing w:line="360" w:lineRule="auto"/>
      <w:ind w:firstLine="420"/>
    </w:pPr>
    <w:rPr>
      <w:rFonts w:ascii="宋体" w:hAnsi="宋体" w:eastAsia="宋体"/>
      <w:sz w:val="21"/>
      <w:szCs w:val="20"/>
    </w:rPr>
  </w:style>
  <w:style w:type="table" w:styleId="56">
    <w:name w:val="Table Grid"/>
    <w:basedOn w:val="5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qFormat/>
    <w:uiPriority w:val="0"/>
    <w:rPr>
      <w:b/>
      <w:bCs/>
    </w:rPr>
  </w:style>
  <w:style w:type="character" w:styleId="59">
    <w:name w:val="endnote reference"/>
    <w:unhideWhenUsed/>
    <w:qFormat/>
    <w:uiPriority w:val="99"/>
    <w:rPr>
      <w:vertAlign w:val="superscript"/>
    </w:rPr>
  </w:style>
  <w:style w:type="character" w:styleId="60">
    <w:name w:val="page number"/>
    <w:qFormat/>
    <w:uiPriority w:val="0"/>
  </w:style>
  <w:style w:type="character" w:styleId="61">
    <w:name w:val="FollowedHyperlink"/>
    <w:basedOn w:val="57"/>
    <w:qFormat/>
    <w:uiPriority w:val="0"/>
    <w:rPr>
      <w:color w:val="333333"/>
      <w:u w:val="none"/>
    </w:rPr>
  </w:style>
  <w:style w:type="character" w:styleId="62">
    <w:name w:val="Emphasis"/>
    <w:basedOn w:val="57"/>
    <w:qFormat/>
    <w:uiPriority w:val="20"/>
    <w:rPr>
      <w:i/>
    </w:rPr>
  </w:style>
  <w:style w:type="character" w:styleId="63">
    <w:name w:val="Hyperlink"/>
    <w:basedOn w:val="57"/>
    <w:qFormat/>
    <w:uiPriority w:val="0"/>
    <w:rPr>
      <w:color w:val="333333"/>
      <w:u w:val="none"/>
    </w:rPr>
  </w:style>
  <w:style w:type="character" w:styleId="64">
    <w:name w:val="annotation reference"/>
    <w:semiHidden/>
    <w:qFormat/>
    <w:uiPriority w:val="0"/>
    <w:rPr>
      <w:sz w:val="21"/>
      <w:szCs w:val="21"/>
    </w:rPr>
  </w:style>
  <w:style w:type="character" w:styleId="65">
    <w:name w:val="footnote reference"/>
    <w:unhideWhenUsed/>
    <w:qFormat/>
    <w:uiPriority w:val="99"/>
    <w:rPr>
      <w:vertAlign w:val="superscript"/>
    </w:rPr>
  </w:style>
  <w:style w:type="paragraph" w:customStyle="1" w:styleId="66">
    <w:name w:val="Default"/>
    <w:next w:val="1"/>
    <w:qFormat/>
    <w:uiPriority w:val="0"/>
    <w:pPr>
      <w:widowControl w:val="0"/>
    </w:pPr>
    <w:rPr>
      <w:rFonts w:ascii="宋体" w:hAnsi="Times New Roman" w:eastAsia="宋体" w:cs="宋体"/>
      <w:color w:val="000000"/>
      <w:sz w:val="24"/>
      <w:szCs w:val="24"/>
      <w:lang w:val="en-US" w:eastAsia="zh-CN" w:bidi="ar-SA"/>
    </w:rPr>
  </w:style>
  <w:style w:type="character" w:customStyle="1" w:styleId="67">
    <w:name w:val="标题 1 字符"/>
    <w:link w:val="2"/>
    <w:qFormat/>
    <w:uiPriority w:val="0"/>
    <w:rPr>
      <w:rFonts w:ascii="Arial" w:hAnsi="Arial" w:eastAsia="Arial" w:cs="Arial"/>
      <w:sz w:val="40"/>
      <w:szCs w:val="40"/>
    </w:rPr>
  </w:style>
  <w:style w:type="character" w:customStyle="1" w:styleId="68">
    <w:name w:val="标题 2 字符"/>
    <w:link w:val="3"/>
    <w:qFormat/>
    <w:uiPriority w:val="0"/>
    <w:rPr>
      <w:rFonts w:ascii="Arial" w:hAnsi="Arial" w:eastAsia="Arial" w:cs="Arial"/>
      <w:sz w:val="34"/>
    </w:rPr>
  </w:style>
  <w:style w:type="character" w:customStyle="1" w:styleId="69">
    <w:name w:val="正文缩进 字符"/>
    <w:link w:val="4"/>
    <w:qFormat/>
    <w:uiPriority w:val="0"/>
    <w:rPr>
      <w:rFonts w:ascii="宋体" w:hAnsi="Calibri"/>
      <w:color w:val="000000"/>
      <w:sz w:val="24"/>
    </w:rPr>
  </w:style>
  <w:style w:type="character" w:customStyle="1" w:styleId="70">
    <w:name w:val="标题 3 字符"/>
    <w:link w:val="5"/>
    <w:qFormat/>
    <w:uiPriority w:val="0"/>
    <w:rPr>
      <w:rFonts w:ascii="Arial" w:hAnsi="Arial" w:eastAsia="Arial" w:cs="Arial"/>
      <w:sz w:val="30"/>
      <w:szCs w:val="30"/>
    </w:rPr>
  </w:style>
  <w:style w:type="character" w:customStyle="1" w:styleId="71">
    <w:name w:val="标题 4 字符"/>
    <w:link w:val="11"/>
    <w:qFormat/>
    <w:uiPriority w:val="0"/>
    <w:rPr>
      <w:rFonts w:ascii="Arial" w:hAnsi="Arial" w:eastAsia="Arial" w:cs="Arial"/>
      <w:b/>
      <w:bCs/>
      <w:sz w:val="26"/>
      <w:szCs w:val="26"/>
    </w:rPr>
  </w:style>
  <w:style w:type="character" w:customStyle="1" w:styleId="72">
    <w:name w:val="标题 5 字符"/>
    <w:link w:val="12"/>
    <w:qFormat/>
    <w:uiPriority w:val="0"/>
    <w:rPr>
      <w:rFonts w:ascii="Arial" w:hAnsi="Arial" w:eastAsia="Arial" w:cs="Arial"/>
      <w:b/>
      <w:bCs/>
      <w:sz w:val="24"/>
      <w:szCs w:val="24"/>
    </w:rPr>
  </w:style>
  <w:style w:type="character" w:customStyle="1" w:styleId="73">
    <w:name w:val="标题 6 字符"/>
    <w:link w:val="13"/>
    <w:qFormat/>
    <w:uiPriority w:val="0"/>
    <w:rPr>
      <w:rFonts w:ascii="Arial" w:hAnsi="Arial" w:eastAsia="Arial" w:cs="Arial"/>
      <w:b/>
      <w:bCs/>
      <w:sz w:val="22"/>
      <w:szCs w:val="22"/>
    </w:rPr>
  </w:style>
  <w:style w:type="character" w:customStyle="1" w:styleId="74">
    <w:name w:val="标题 7 字符"/>
    <w:link w:val="14"/>
    <w:qFormat/>
    <w:uiPriority w:val="0"/>
    <w:rPr>
      <w:rFonts w:ascii="Arial" w:hAnsi="Arial" w:eastAsia="Arial" w:cs="Arial"/>
      <w:b/>
      <w:bCs/>
      <w:i/>
      <w:iCs/>
      <w:sz w:val="22"/>
      <w:szCs w:val="22"/>
    </w:rPr>
  </w:style>
  <w:style w:type="character" w:customStyle="1" w:styleId="75">
    <w:name w:val="标题 8 字符"/>
    <w:link w:val="15"/>
    <w:qFormat/>
    <w:uiPriority w:val="0"/>
    <w:rPr>
      <w:rFonts w:ascii="Arial" w:hAnsi="Arial" w:eastAsia="Arial" w:cs="Arial"/>
      <w:i/>
      <w:iCs/>
      <w:sz w:val="22"/>
      <w:szCs w:val="22"/>
    </w:rPr>
  </w:style>
  <w:style w:type="character" w:customStyle="1" w:styleId="76">
    <w:name w:val="标题 9 字符"/>
    <w:link w:val="16"/>
    <w:qFormat/>
    <w:uiPriority w:val="0"/>
    <w:rPr>
      <w:rFonts w:ascii="Arial" w:hAnsi="Arial" w:eastAsia="Arial" w:cs="Arial"/>
      <w:i/>
      <w:iCs/>
      <w:sz w:val="21"/>
      <w:szCs w:val="21"/>
    </w:rPr>
  </w:style>
  <w:style w:type="character" w:customStyle="1" w:styleId="77">
    <w:name w:val="文档结构图 字符"/>
    <w:link w:val="20"/>
    <w:semiHidden/>
    <w:qFormat/>
    <w:uiPriority w:val="0"/>
    <w:rPr>
      <w:sz w:val="21"/>
      <w:szCs w:val="21"/>
      <w:shd w:val="clear" w:color="auto" w:fill="000080"/>
    </w:rPr>
  </w:style>
  <w:style w:type="character" w:customStyle="1" w:styleId="78">
    <w:name w:val="批注文字 字符"/>
    <w:link w:val="21"/>
    <w:semiHidden/>
    <w:qFormat/>
    <w:uiPriority w:val="0"/>
    <w:rPr>
      <w:sz w:val="21"/>
      <w:szCs w:val="21"/>
    </w:rPr>
  </w:style>
  <w:style w:type="character" w:customStyle="1" w:styleId="79">
    <w:name w:val="正文文本 3 字符"/>
    <w:link w:val="22"/>
    <w:qFormat/>
    <w:uiPriority w:val="0"/>
    <w:rPr>
      <w:rFonts w:ascii="仿宋_GB2312" w:hAnsi="Arial" w:eastAsia="仿宋_GB2312"/>
      <w:sz w:val="32"/>
      <w:szCs w:val="32"/>
    </w:rPr>
  </w:style>
  <w:style w:type="character" w:customStyle="1" w:styleId="80">
    <w:name w:val="正文文本缩进 字符1"/>
    <w:link w:val="24"/>
    <w:qFormat/>
    <w:uiPriority w:val="0"/>
    <w:rPr>
      <w:rFonts w:ascii="仿宋_GB2312" w:hAnsi="Calibri" w:eastAsia="仿宋_GB2312"/>
      <w:sz w:val="32"/>
      <w:szCs w:val="22"/>
    </w:rPr>
  </w:style>
  <w:style w:type="character" w:customStyle="1" w:styleId="81">
    <w:name w:val="纯文本 字符"/>
    <w:link w:val="29"/>
    <w:qFormat/>
    <w:uiPriority w:val="0"/>
    <w:rPr>
      <w:rFonts w:ascii="宋体" w:hAnsi="Courier New" w:cs="Courier New"/>
      <w:sz w:val="21"/>
      <w:szCs w:val="21"/>
    </w:rPr>
  </w:style>
  <w:style w:type="character" w:customStyle="1" w:styleId="82">
    <w:name w:val="日期 字符"/>
    <w:link w:val="31"/>
    <w:qFormat/>
    <w:uiPriority w:val="0"/>
    <w:rPr>
      <w:sz w:val="24"/>
      <w:szCs w:val="24"/>
    </w:rPr>
  </w:style>
  <w:style w:type="character" w:customStyle="1" w:styleId="83">
    <w:name w:val="正文文本缩进 2 字符"/>
    <w:link w:val="32"/>
    <w:qFormat/>
    <w:uiPriority w:val="0"/>
    <w:rPr>
      <w:rFonts w:ascii="Arial" w:hAnsi="Arial" w:eastAsia="仿宋_GB2312" w:cs="Arial"/>
      <w:sz w:val="32"/>
      <w:szCs w:val="32"/>
    </w:rPr>
  </w:style>
  <w:style w:type="character" w:customStyle="1" w:styleId="84">
    <w:name w:val="尾注文本 字符"/>
    <w:link w:val="33"/>
    <w:qFormat/>
    <w:uiPriority w:val="99"/>
    <w:rPr>
      <w:sz w:val="20"/>
    </w:rPr>
  </w:style>
  <w:style w:type="character" w:customStyle="1" w:styleId="85">
    <w:name w:val="批注框文本 字符"/>
    <w:link w:val="34"/>
    <w:qFormat/>
    <w:uiPriority w:val="0"/>
    <w:rPr>
      <w:sz w:val="18"/>
      <w:szCs w:val="18"/>
    </w:rPr>
  </w:style>
  <w:style w:type="character" w:customStyle="1" w:styleId="86">
    <w:name w:val="页脚 字符"/>
    <w:link w:val="35"/>
    <w:qFormat/>
    <w:uiPriority w:val="99"/>
  </w:style>
  <w:style w:type="character" w:customStyle="1" w:styleId="87">
    <w:name w:val="页眉 字符"/>
    <w:link w:val="36"/>
    <w:qFormat/>
    <w:uiPriority w:val="0"/>
    <w:rPr>
      <w:rFonts w:ascii="Calibri" w:hAnsi="Calibri"/>
      <w:sz w:val="18"/>
      <w:szCs w:val="18"/>
    </w:rPr>
  </w:style>
  <w:style w:type="character" w:customStyle="1" w:styleId="88">
    <w:name w:val="副标题 字符"/>
    <w:link w:val="39"/>
    <w:qFormat/>
    <w:uiPriority w:val="11"/>
    <w:rPr>
      <w:sz w:val="24"/>
      <w:szCs w:val="24"/>
    </w:rPr>
  </w:style>
  <w:style w:type="character" w:customStyle="1" w:styleId="89">
    <w:name w:val="脚注文本 字符"/>
    <w:link w:val="41"/>
    <w:qFormat/>
    <w:uiPriority w:val="99"/>
    <w:rPr>
      <w:sz w:val="18"/>
    </w:rPr>
  </w:style>
  <w:style w:type="character" w:customStyle="1" w:styleId="90">
    <w:name w:val="正文文本缩进 3 字符"/>
    <w:link w:val="43"/>
    <w:qFormat/>
    <w:uiPriority w:val="0"/>
    <w:rPr>
      <w:rFonts w:ascii="Arial" w:hAnsi="Arial" w:eastAsia="仿宋_GB2312" w:cs="Arial"/>
      <w:color w:val="FFFF00"/>
      <w:sz w:val="32"/>
      <w:szCs w:val="32"/>
    </w:rPr>
  </w:style>
  <w:style w:type="character" w:customStyle="1" w:styleId="91">
    <w:name w:val="正文文本 2 字符"/>
    <w:link w:val="47"/>
    <w:qFormat/>
    <w:uiPriority w:val="0"/>
    <w:rPr>
      <w:rFonts w:ascii="楷体_GB2312" w:eastAsia="楷体_GB2312"/>
      <w:sz w:val="28"/>
      <w:szCs w:val="28"/>
    </w:rPr>
  </w:style>
  <w:style w:type="character" w:customStyle="1" w:styleId="92">
    <w:name w:val="HTML 预设格式 字符"/>
    <w:link w:val="48"/>
    <w:qFormat/>
    <w:uiPriority w:val="99"/>
    <w:rPr>
      <w:rFonts w:ascii="宋体" w:hAnsi="宋体"/>
      <w:sz w:val="24"/>
      <w:szCs w:val="24"/>
    </w:rPr>
  </w:style>
  <w:style w:type="character" w:customStyle="1" w:styleId="93">
    <w:name w:val="标题 字符"/>
    <w:link w:val="51"/>
    <w:qFormat/>
    <w:uiPriority w:val="10"/>
    <w:rPr>
      <w:sz w:val="48"/>
      <w:szCs w:val="48"/>
    </w:rPr>
  </w:style>
  <w:style w:type="character" w:customStyle="1" w:styleId="94">
    <w:name w:val="批注主题 字符"/>
    <w:link w:val="52"/>
    <w:semiHidden/>
    <w:qFormat/>
    <w:uiPriority w:val="0"/>
    <w:rPr>
      <w:b/>
      <w:bCs/>
      <w:sz w:val="21"/>
      <w:szCs w:val="21"/>
    </w:rPr>
  </w:style>
  <w:style w:type="character" w:customStyle="1" w:styleId="95">
    <w:name w:val="正文文本首行缩进 2 字符"/>
    <w:link w:val="54"/>
    <w:qFormat/>
    <w:uiPriority w:val="0"/>
    <w:rPr>
      <w:rFonts w:ascii="宋体" w:hAnsi="宋体" w:eastAsia="仿宋_GB2312"/>
      <w:sz w:val="21"/>
      <w:szCs w:val="22"/>
    </w:rPr>
  </w:style>
  <w:style w:type="paragraph" w:customStyle="1" w:styleId="96">
    <w:name w:val="正文首行缩进 21"/>
    <w:basedOn w:val="97"/>
    <w:next w:val="1"/>
    <w:qFormat/>
    <w:uiPriority w:val="0"/>
    <w:pPr>
      <w:spacing w:line="360" w:lineRule="auto"/>
      <w:ind w:firstLine="420"/>
    </w:pPr>
    <w:rPr>
      <w:rFonts w:ascii="宋体" w:hAnsi="宋体" w:eastAsia="宋体"/>
      <w:sz w:val="21"/>
      <w:szCs w:val="20"/>
    </w:rPr>
  </w:style>
  <w:style w:type="paragraph" w:customStyle="1" w:styleId="97">
    <w:name w:val="正文文本缩进1"/>
    <w:basedOn w:val="1"/>
    <w:next w:val="98"/>
    <w:qFormat/>
    <w:uiPriority w:val="0"/>
    <w:pPr>
      <w:ind w:firstLine="645"/>
    </w:pPr>
    <w:rPr>
      <w:rFonts w:ascii="楷体_GB2312" w:eastAsia="楷体_GB2312"/>
      <w:sz w:val="32"/>
      <w:szCs w:val="32"/>
    </w:rPr>
  </w:style>
  <w:style w:type="paragraph" w:customStyle="1" w:styleId="98">
    <w:name w:val="寄信人地址1"/>
    <w:basedOn w:val="1"/>
    <w:qFormat/>
    <w:uiPriority w:val="0"/>
    <w:rPr>
      <w:rFonts w:ascii="Arial" w:hAnsi="Arial"/>
    </w:rPr>
  </w:style>
  <w:style w:type="paragraph" w:customStyle="1" w:styleId="99">
    <w:name w:val="标题 41"/>
    <w:basedOn w:val="100"/>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00">
    <w:name w:val="Normal_20"/>
    <w:next w:val="101"/>
    <w:qFormat/>
    <w:uiPriority w:val="0"/>
    <w:rPr>
      <w:rFonts w:ascii="黑体" w:hAnsi="黑体" w:eastAsia="黑体" w:cs="黑体"/>
      <w:b/>
      <w:sz w:val="32"/>
      <w:szCs w:val="24"/>
      <w:lang w:val="en-US" w:eastAsia="zh-CN" w:bidi="ar-SA"/>
    </w:rPr>
  </w:style>
  <w:style w:type="paragraph" w:customStyle="1" w:styleId="101">
    <w:name w:val="Body Text First Indent_2"/>
    <w:basedOn w:val="100"/>
    <w:qFormat/>
    <w:uiPriority w:val="0"/>
    <w:pPr>
      <w:spacing w:after="120"/>
      <w:ind w:firstLine="100" w:firstLineChars="100"/>
    </w:pPr>
  </w:style>
  <w:style w:type="paragraph" w:customStyle="1" w:styleId="102">
    <w:name w:val="脚注文本1"/>
    <w:basedOn w:val="1"/>
    <w:qFormat/>
    <w:uiPriority w:val="0"/>
    <w:pPr>
      <w:jc w:val="left"/>
    </w:pPr>
    <w:rPr>
      <w:rFonts w:eastAsia="Times New Roman"/>
      <w:sz w:val="18"/>
      <w:szCs w:val="24"/>
    </w:rPr>
  </w:style>
  <w:style w:type="table" w:customStyle="1" w:styleId="103">
    <w:name w:val="无格式表格 11"/>
    <w:basedOn w:val="5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等线" w:hAnsi="等线"/>
        <w:b/>
        <w:color w:val="404040"/>
        <w:sz w:val="22"/>
      </w:rPr>
    </w:tblStylePr>
    <w:tblStylePr w:type="lastRow">
      <w:rPr>
        <w:rFonts w:ascii="等线" w:hAnsi="等线"/>
        <w:b/>
        <w:color w:val="404040"/>
        <w:sz w:val="22"/>
      </w:rPr>
    </w:tblStylePr>
    <w:tblStylePr w:type="firstCol">
      <w:rPr>
        <w:rFonts w:ascii="等线" w:hAnsi="等线"/>
        <w:b/>
        <w:color w:val="404040"/>
        <w:sz w:val="22"/>
      </w:rPr>
    </w:tblStylePr>
    <w:tblStylePr w:type="lastCol">
      <w:rPr>
        <w:rFonts w:ascii="等线" w:hAnsi="等线"/>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4">
    <w:name w:val="无格式表格 21"/>
    <w:basedOn w:val="5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等线" w:hAnsi="等线"/>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等线" w:hAnsi="等线"/>
        <w:b/>
        <w:color w:val="404040"/>
        <w:sz w:val="22"/>
      </w:rPr>
    </w:tblStylePr>
    <w:tblStylePr w:type="firstCol">
      <w:rPr>
        <w:rFonts w:ascii="等线" w:hAnsi="等线"/>
        <w:b/>
        <w:color w:val="404040"/>
        <w:sz w:val="22"/>
      </w:rPr>
    </w:tblStylePr>
    <w:tblStylePr w:type="lastCol">
      <w:rPr>
        <w:rFonts w:ascii="等线" w:hAnsi="等线"/>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5">
    <w:name w:val="无格式表格 31"/>
    <w:basedOn w:val="5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等线" w:hAnsi="等线"/>
        <w:color w:val="404040"/>
        <w:sz w:val="22"/>
      </w:rPr>
      <w:tcPr>
        <w:shd w:val="clear" w:color="F1F1F1" w:fill="F1F1F1"/>
      </w:tcPr>
    </w:tblStylePr>
    <w:tblStylePr w:type="band1Horz">
      <w:rPr>
        <w:rFonts w:ascii="等线" w:hAnsi="等线"/>
        <w:color w:val="404040"/>
        <w:sz w:val="22"/>
      </w:rPr>
      <w:tcPr>
        <w:shd w:val="clear" w:color="F1F1F1" w:fill="F1F1F1"/>
      </w:tcPr>
    </w:tblStylePr>
  </w:style>
  <w:style w:type="table" w:customStyle="1" w:styleId="106">
    <w:name w:val="无格式表格 41"/>
    <w:basedOn w:val="5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1F1F1" w:fill="F1F1F1"/>
      </w:tcPr>
    </w:tblStylePr>
    <w:tblStylePr w:type="band1Horz">
      <w:rPr>
        <w:rFonts w:ascii="等线" w:hAnsi="等线"/>
        <w:color w:val="404040"/>
        <w:sz w:val="22"/>
      </w:rPr>
      <w:tcPr>
        <w:shd w:val="clear" w:color="F1F1F1" w:fill="F1F1F1"/>
      </w:tcPr>
    </w:tblStylePr>
  </w:style>
  <w:style w:type="table" w:customStyle="1" w:styleId="107">
    <w:name w:val="无格式表格 51"/>
    <w:basedOn w:val="5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F1F1F1" w:fill="F1F1F1"/>
      </w:tcPr>
    </w:tblStylePr>
    <w:tblStylePr w:type="band1Horz">
      <w:rPr>
        <w:rFonts w:ascii="等线" w:hAnsi="等线"/>
        <w:color w:val="404040"/>
        <w:sz w:val="22"/>
      </w:rPr>
      <w:tcPr>
        <w:shd w:val="clear" w:color="F1F1F1" w:fill="F1F1F1"/>
      </w:tcPr>
    </w:tblStylePr>
  </w:style>
  <w:style w:type="table" w:customStyle="1" w:styleId="108">
    <w:name w:val="网格表 1 浅色1"/>
    <w:basedOn w:val="5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09">
    <w:name w:val="网格表 21"/>
    <w:basedOn w:val="5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CACACA" w:fill="CACACA"/>
      </w:tcPr>
    </w:tblStylePr>
    <w:tblStylePr w:type="band1Horz">
      <w:rPr>
        <w:rFonts w:ascii="等线" w:hAnsi="等线"/>
        <w:color w:val="404040"/>
        <w:sz w:val="22"/>
      </w:rPr>
      <w:tcPr>
        <w:shd w:val="clear" w:color="CACACA" w:fill="CACACA"/>
      </w:tcPr>
    </w:tblStylePr>
  </w:style>
  <w:style w:type="table" w:customStyle="1" w:styleId="110">
    <w:name w:val="网格表 31"/>
    <w:basedOn w:val="5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CACACA" w:fill="CACACA"/>
      </w:tcPr>
    </w:tblStylePr>
    <w:tblStylePr w:type="band1Horz">
      <w:rPr>
        <w:rFonts w:ascii="等线" w:hAnsi="等线"/>
        <w:color w:val="404040"/>
        <w:sz w:val="22"/>
      </w:rPr>
      <w:tcPr>
        <w:shd w:val="clear" w:color="CACACA" w:fill="CACACA"/>
      </w:tcPr>
    </w:tblStylePr>
  </w:style>
  <w:style w:type="table" w:customStyle="1" w:styleId="111">
    <w:name w:val="网格表 41"/>
    <w:basedOn w:val="5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等线" w:hAnsi="等线"/>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CACACA" w:fill="CACACA"/>
      </w:tcPr>
    </w:tblStylePr>
    <w:tblStylePr w:type="band1Horz">
      <w:rPr>
        <w:rFonts w:ascii="等线" w:hAnsi="等线"/>
        <w:color w:val="404040"/>
        <w:sz w:val="22"/>
      </w:rPr>
      <w:tcPr>
        <w:shd w:val="clear" w:color="CACACA" w:fill="CACACA"/>
      </w:tcPr>
    </w:tblStylePr>
  </w:style>
  <w:style w:type="table" w:customStyle="1" w:styleId="112">
    <w:name w:val="网格表 5 深色1"/>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000000" w:fill="000000"/>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3">
    <w:name w:val="网格表 6 彩色1"/>
    <w:basedOn w:val="5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等线" w:hAnsi="等线"/>
        <w:color w:val="7F7F7F"/>
        <w:sz w:val="22"/>
      </w:rPr>
      <w:tcPr>
        <w:shd w:val="clear" w:color="CACACA" w:fill="CACACA"/>
      </w:tcPr>
    </w:tblStylePr>
    <w:tblStylePr w:type="band2Horz">
      <w:rPr>
        <w:rFonts w:ascii="等线" w:hAnsi="等线"/>
        <w:color w:val="7F7F7F"/>
        <w:sz w:val="22"/>
      </w:rPr>
    </w:tblStylePr>
  </w:style>
  <w:style w:type="table" w:customStyle="1" w:styleId="114">
    <w:name w:val="网格表 7 彩色1"/>
    <w:basedOn w:val="5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等线" w:hAnsi="等线"/>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等线" w:hAnsi="等线"/>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等线" w:hAnsi="等线"/>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等线" w:hAnsi="等线"/>
        <w:color w:val="7F7F7F"/>
        <w:sz w:val="22"/>
      </w:rPr>
      <w:tcPr>
        <w:shd w:val="clear" w:color="F1F1F1" w:fill="F1F1F1"/>
      </w:tcPr>
    </w:tblStylePr>
    <w:tblStylePr w:type="band2Horz">
      <w:rPr>
        <w:rFonts w:ascii="等线" w:hAnsi="等线"/>
        <w:color w:val="7F7F7F"/>
        <w:sz w:val="22"/>
      </w:rPr>
    </w:tblStylePr>
  </w:style>
  <w:style w:type="table" w:customStyle="1" w:styleId="115">
    <w:name w:val="清单表 1 浅色1"/>
    <w:basedOn w:val="5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6">
    <w:name w:val="清单表 21"/>
    <w:basedOn w:val="55"/>
    <w:qFormat/>
    <w:uiPriority w:val="99"/>
    <w:tblPr>
      <w:tblBorders>
        <w:top w:val="single" w:color="6E6E6E" w:sz="4" w:space="0"/>
        <w:bottom w:val="single" w:color="6E6E6E" w:sz="4" w:space="0"/>
        <w:insideH w:val="single" w:color="6E6E6E" w:sz="4" w:space="0"/>
      </w:tblBorders>
    </w:tblPr>
    <w:tblStylePr w:type="firstRow">
      <w:rPr>
        <w:rFonts w:ascii="等线" w:hAnsi="等线"/>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等线" w:hAnsi="等线"/>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BEBEBE" w:fill="BEBEBE"/>
      </w:tcPr>
    </w:tblStylePr>
    <w:tblStylePr w:type="band1Horz">
      <w:rPr>
        <w:rFonts w:ascii="等线" w:hAnsi="等线"/>
        <w:color w:val="404040"/>
        <w:sz w:val="22"/>
      </w:rPr>
      <w:tcPr>
        <w:shd w:val="clear" w:color="BEBEBE" w:fill="BEBEBE"/>
      </w:tcPr>
    </w:tblStylePr>
  </w:style>
  <w:style w:type="table" w:customStyle="1" w:styleId="117">
    <w:name w:val="清单表 31"/>
    <w:basedOn w:val="5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等线" w:hAnsi="等线"/>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等线" w:hAnsi="等线"/>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18">
    <w:name w:val="清单表 41"/>
    <w:basedOn w:val="5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等线" w:hAnsi="等线"/>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BEBEBE" w:fill="BEBEBE"/>
      </w:tcPr>
    </w:tblStylePr>
    <w:tblStylePr w:type="band1Horz">
      <w:rPr>
        <w:rFonts w:ascii="等线" w:hAnsi="等线"/>
        <w:color w:val="404040"/>
        <w:sz w:val="22"/>
      </w:rPr>
      <w:tcPr>
        <w:shd w:val="clear" w:color="BEBEBE" w:fill="BEBEBE"/>
      </w:tcPr>
    </w:tblStylePr>
  </w:style>
  <w:style w:type="table" w:customStyle="1" w:styleId="119">
    <w:name w:val="清单表 5 深色1"/>
    <w:basedOn w:val="5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等线" w:hAnsi="等线"/>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20">
    <w:name w:val="清单表 6 彩色1"/>
    <w:basedOn w:val="5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等线" w:hAnsi="等线"/>
        <w:color w:val="000000"/>
        <w:sz w:val="22"/>
      </w:rPr>
      <w:tcPr>
        <w:shd w:val="clear" w:color="BEBEBE" w:fill="BEBEBE"/>
      </w:tcPr>
    </w:tblStylePr>
    <w:tblStylePr w:type="band2Horz">
      <w:rPr>
        <w:rFonts w:ascii="等线" w:hAnsi="等线"/>
        <w:color w:val="000000"/>
        <w:sz w:val="22"/>
      </w:rPr>
    </w:tblStylePr>
  </w:style>
  <w:style w:type="table" w:customStyle="1" w:styleId="121">
    <w:name w:val="清单表 7 彩色1"/>
    <w:basedOn w:val="55"/>
    <w:qFormat/>
    <w:uiPriority w:val="99"/>
    <w:tblPr>
      <w:tblBorders>
        <w:right w:val="single" w:color="7E7E7E" w:sz="4" w:space="0"/>
      </w:tblBorders>
    </w:tblPr>
    <w:tblStylePr w:type="firstRow">
      <w:rPr>
        <w:rFonts w:ascii="等线" w:hAnsi="等线"/>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等线" w:hAnsi="等线"/>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等线" w:hAnsi="等线"/>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等线" w:hAnsi="等线"/>
        <w:color w:val="7F7F7F"/>
        <w:sz w:val="22"/>
      </w:rPr>
      <w:tcPr>
        <w:shd w:val="clear" w:color="BEBEBE" w:fill="BEBEBE"/>
      </w:tcPr>
    </w:tblStylePr>
    <w:tblStylePr w:type="band2Horz">
      <w:rPr>
        <w:rFonts w:ascii="等线" w:hAnsi="等线"/>
        <w:color w:val="7F7F7F"/>
        <w:sz w:val="22"/>
      </w:rPr>
    </w:tblStylePr>
  </w:style>
  <w:style w:type="paragraph" w:customStyle="1" w:styleId="122">
    <w:name w:val="TOC 标题1"/>
    <w:unhideWhenUsed/>
    <w:qFormat/>
    <w:uiPriority w:val="39"/>
    <w:rPr>
      <w:rFonts w:ascii="Times New Roman" w:hAnsi="Times New Roman" w:eastAsia="宋体" w:cs="Times New Roman"/>
      <w:lang w:val="en-US" w:eastAsia="zh-CN" w:bidi="ar-SA"/>
    </w:rPr>
  </w:style>
  <w:style w:type="paragraph" w:customStyle="1" w:styleId="123">
    <w:name w:val="TOC 标题111"/>
    <w:unhideWhenUsed/>
    <w:qFormat/>
    <w:uiPriority w:val="39"/>
    <w:rPr>
      <w:rFonts w:ascii="Times New Roman" w:hAnsi="Times New Roman" w:eastAsia="宋体" w:cs="Times New Roman"/>
      <w:lang w:val="en-US" w:eastAsia="zh-CN" w:bidi="ar-SA"/>
    </w:rPr>
  </w:style>
  <w:style w:type="paragraph" w:customStyle="1" w:styleId="124">
    <w:name w:val="Normal_21"/>
    <w:basedOn w:val="125"/>
    <w:next w:val="125"/>
    <w:qFormat/>
    <w:uiPriority w:val="0"/>
    <w:rPr>
      <w:rFonts w:ascii="Times New Roman" w:hAnsi="Times New Roman"/>
      <w:szCs w:val="24"/>
    </w:rPr>
  </w:style>
  <w:style w:type="paragraph" w:customStyle="1" w:styleId="125">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26">
    <w:name w:val="正文_17"/>
    <w:next w:val="12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27">
    <w:name w:val="标题 4_1"/>
    <w:basedOn w:val="126"/>
    <w:next w:val="126"/>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28">
    <w:name w:val="Heading 1 Char"/>
    <w:qFormat/>
    <w:uiPriority w:val="9"/>
    <w:rPr>
      <w:rFonts w:ascii="Arial" w:hAnsi="Arial" w:eastAsia="Arial" w:cs="Arial"/>
      <w:sz w:val="40"/>
      <w:szCs w:val="40"/>
    </w:rPr>
  </w:style>
  <w:style w:type="character" w:customStyle="1" w:styleId="129">
    <w:name w:val="Heading 2 Char"/>
    <w:qFormat/>
    <w:uiPriority w:val="9"/>
    <w:rPr>
      <w:rFonts w:ascii="Arial" w:hAnsi="Arial" w:eastAsia="Arial" w:cs="Arial"/>
      <w:sz w:val="34"/>
    </w:rPr>
  </w:style>
  <w:style w:type="character" w:customStyle="1" w:styleId="130">
    <w:name w:val="Heading 3 Char"/>
    <w:qFormat/>
    <w:uiPriority w:val="9"/>
    <w:rPr>
      <w:rFonts w:ascii="Arial" w:hAnsi="Arial" w:eastAsia="Arial" w:cs="Arial"/>
      <w:sz w:val="30"/>
      <w:szCs w:val="30"/>
    </w:rPr>
  </w:style>
  <w:style w:type="character" w:customStyle="1" w:styleId="131">
    <w:name w:val="Heading 4 Char"/>
    <w:qFormat/>
    <w:uiPriority w:val="9"/>
    <w:rPr>
      <w:rFonts w:ascii="Arial" w:hAnsi="Arial" w:eastAsia="Arial" w:cs="Arial"/>
      <w:b/>
      <w:bCs/>
      <w:sz w:val="26"/>
      <w:szCs w:val="26"/>
    </w:rPr>
  </w:style>
  <w:style w:type="character" w:customStyle="1" w:styleId="132">
    <w:name w:val="Heading 5 Char"/>
    <w:qFormat/>
    <w:uiPriority w:val="9"/>
    <w:rPr>
      <w:rFonts w:ascii="Arial" w:hAnsi="Arial" w:eastAsia="Arial" w:cs="Arial"/>
      <w:b/>
      <w:bCs/>
      <w:sz w:val="24"/>
      <w:szCs w:val="24"/>
    </w:rPr>
  </w:style>
  <w:style w:type="character" w:customStyle="1" w:styleId="133">
    <w:name w:val="Heading 6 Char"/>
    <w:qFormat/>
    <w:uiPriority w:val="9"/>
    <w:rPr>
      <w:rFonts w:ascii="Arial" w:hAnsi="Arial" w:eastAsia="Arial" w:cs="Arial"/>
      <w:b/>
      <w:bCs/>
      <w:sz w:val="22"/>
      <w:szCs w:val="22"/>
    </w:rPr>
  </w:style>
  <w:style w:type="character" w:customStyle="1" w:styleId="134">
    <w:name w:val="Heading 7 Char"/>
    <w:qFormat/>
    <w:uiPriority w:val="9"/>
    <w:rPr>
      <w:rFonts w:ascii="Arial" w:hAnsi="Arial" w:eastAsia="Arial" w:cs="Arial"/>
      <w:b/>
      <w:bCs/>
      <w:i/>
      <w:iCs/>
      <w:sz w:val="22"/>
      <w:szCs w:val="22"/>
    </w:rPr>
  </w:style>
  <w:style w:type="character" w:customStyle="1" w:styleId="135">
    <w:name w:val="Heading 8 Char"/>
    <w:qFormat/>
    <w:uiPriority w:val="9"/>
    <w:rPr>
      <w:rFonts w:ascii="Arial" w:hAnsi="Arial" w:eastAsia="Arial" w:cs="Arial"/>
      <w:i/>
      <w:iCs/>
      <w:sz w:val="22"/>
      <w:szCs w:val="22"/>
    </w:rPr>
  </w:style>
  <w:style w:type="character" w:customStyle="1" w:styleId="136">
    <w:name w:val="Heading 9 Char"/>
    <w:qFormat/>
    <w:uiPriority w:val="9"/>
    <w:rPr>
      <w:rFonts w:ascii="Arial" w:hAnsi="Arial" w:eastAsia="Arial" w:cs="Arial"/>
      <w:i/>
      <w:iCs/>
      <w:sz w:val="21"/>
      <w:szCs w:val="21"/>
    </w:rPr>
  </w:style>
  <w:style w:type="character" w:customStyle="1" w:styleId="137">
    <w:name w:val="Title Char"/>
    <w:qFormat/>
    <w:uiPriority w:val="10"/>
    <w:rPr>
      <w:sz w:val="48"/>
      <w:szCs w:val="48"/>
    </w:rPr>
  </w:style>
  <w:style w:type="character" w:customStyle="1" w:styleId="138">
    <w:name w:val="Subtitle Char"/>
    <w:qFormat/>
    <w:uiPriority w:val="11"/>
    <w:rPr>
      <w:sz w:val="24"/>
      <w:szCs w:val="24"/>
    </w:rPr>
  </w:style>
  <w:style w:type="character" w:customStyle="1" w:styleId="139">
    <w:name w:val="Quote Char"/>
    <w:qFormat/>
    <w:uiPriority w:val="29"/>
    <w:rPr>
      <w:i/>
    </w:rPr>
  </w:style>
  <w:style w:type="character" w:customStyle="1" w:styleId="140">
    <w:name w:val="Intense Quote Char"/>
    <w:qFormat/>
    <w:uiPriority w:val="30"/>
    <w:rPr>
      <w:i/>
    </w:rPr>
  </w:style>
  <w:style w:type="character" w:customStyle="1" w:styleId="141">
    <w:name w:val="Caption Char"/>
    <w:qFormat/>
    <w:uiPriority w:val="99"/>
  </w:style>
  <w:style w:type="character" w:customStyle="1" w:styleId="142">
    <w:name w:val="Footnote Text Char"/>
    <w:qFormat/>
    <w:uiPriority w:val="99"/>
    <w:rPr>
      <w:sz w:val="18"/>
    </w:rPr>
  </w:style>
  <w:style w:type="character" w:customStyle="1" w:styleId="143">
    <w:name w:val="Endnote Text Char"/>
    <w:qFormat/>
    <w:uiPriority w:val="99"/>
    <w:rPr>
      <w:sz w:val="20"/>
    </w:rPr>
  </w:style>
  <w:style w:type="paragraph" w:styleId="144">
    <w:name w:val="List Paragraph"/>
    <w:basedOn w:val="1"/>
    <w:qFormat/>
    <w:uiPriority w:val="0"/>
    <w:pPr>
      <w:ind w:left="720"/>
      <w:contextualSpacing/>
    </w:pPr>
  </w:style>
  <w:style w:type="paragraph" w:styleId="145">
    <w:name w:val="No Spacing"/>
    <w:qFormat/>
    <w:uiPriority w:val="99"/>
    <w:rPr>
      <w:rFonts w:ascii="Times New Roman" w:hAnsi="Times New Roman" w:eastAsia="宋体" w:cs="Times New Roman"/>
      <w:lang w:val="en-US" w:eastAsia="zh-CN" w:bidi="ar-SA"/>
    </w:rPr>
  </w:style>
  <w:style w:type="paragraph" w:styleId="146">
    <w:name w:val="Quote"/>
    <w:basedOn w:val="1"/>
    <w:next w:val="1"/>
    <w:link w:val="147"/>
    <w:qFormat/>
    <w:uiPriority w:val="29"/>
    <w:pPr>
      <w:ind w:left="720" w:right="720"/>
    </w:pPr>
    <w:rPr>
      <w:i/>
    </w:rPr>
  </w:style>
  <w:style w:type="character" w:customStyle="1" w:styleId="147">
    <w:name w:val="引用 字符"/>
    <w:link w:val="146"/>
    <w:qFormat/>
    <w:uiPriority w:val="29"/>
    <w:rPr>
      <w:i/>
    </w:rPr>
  </w:style>
  <w:style w:type="paragraph" w:styleId="148">
    <w:name w:val="Intense Quote"/>
    <w:basedOn w:val="1"/>
    <w:next w:val="1"/>
    <w:link w:val="1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9">
    <w:name w:val="明显引用 字符"/>
    <w:link w:val="148"/>
    <w:qFormat/>
    <w:uiPriority w:val="30"/>
    <w:rPr>
      <w:i/>
    </w:rPr>
  </w:style>
  <w:style w:type="character" w:customStyle="1" w:styleId="150">
    <w:name w:val="Header Char"/>
    <w:qFormat/>
    <w:uiPriority w:val="99"/>
  </w:style>
  <w:style w:type="character" w:customStyle="1" w:styleId="151">
    <w:name w:val="Footer Char"/>
    <w:qFormat/>
    <w:uiPriority w:val="99"/>
  </w:style>
  <w:style w:type="table" w:customStyle="1" w:styleId="152">
    <w:name w:val="Table Grid Light"/>
    <w:basedOn w:val="5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53">
    <w:name w:val="Grid Table 1 Light - Accent 1"/>
    <w:basedOn w:val="5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54">
    <w:name w:val="Grid Table 1 Light - Accent 2"/>
    <w:basedOn w:val="5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55">
    <w:name w:val="Grid Table 1 Light - Accent 3"/>
    <w:basedOn w:val="5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56">
    <w:name w:val="Grid Table 1 Light - Accent 4"/>
    <w:basedOn w:val="5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57">
    <w:name w:val="Grid Table 1 Light - Accent 5"/>
    <w:basedOn w:val="5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58">
    <w:name w:val="Grid Table 1 Light - Accent 6"/>
    <w:basedOn w:val="5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59">
    <w:name w:val="Grid Table 2 - Accent 1"/>
    <w:basedOn w:val="5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DEAF6" w:fill="DDEAF6"/>
      </w:tcPr>
    </w:tblStylePr>
    <w:tblStylePr w:type="band1Horz">
      <w:rPr>
        <w:rFonts w:ascii="等线" w:hAnsi="等线"/>
        <w:color w:val="404040"/>
        <w:sz w:val="22"/>
      </w:rPr>
      <w:tcPr>
        <w:shd w:val="clear" w:color="DDEAF6" w:fill="DDEAF6"/>
      </w:tcPr>
    </w:tblStylePr>
  </w:style>
  <w:style w:type="table" w:customStyle="1" w:styleId="160">
    <w:name w:val="Grid Table 2 - Accent 2"/>
    <w:basedOn w:val="5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BE5D6" w:fill="FBE5D6"/>
      </w:tcPr>
    </w:tblStylePr>
    <w:tblStylePr w:type="band1Horz">
      <w:rPr>
        <w:rFonts w:ascii="等线" w:hAnsi="等线"/>
        <w:color w:val="404040"/>
        <w:sz w:val="22"/>
      </w:rPr>
      <w:tcPr>
        <w:shd w:val="clear" w:color="FBE5D6" w:fill="FBE5D6"/>
      </w:tcPr>
    </w:tblStylePr>
  </w:style>
  <w:style w:type="table" w:customStyle="1" w:styleId="161">
    <w:name w:val="Grid Table 2 - Accent 3"/>
    <w:basedOn w:val="5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CECEC" w:fill="ECECEC"/>
      </w:tcPr>
    </w:tblStylePr>
    <w:tblStylePr w:type="band1Horz">
      <w:rPr>
        <w:rFonts w:ascii="等线" w:hAnsi="等线"/>
        <w:color w:val="404040"/>
        <w:sz w:val="22"/>
      </w:rPr>
      <w:tcPr>
        <w:shd w:val="clear" w:color="ECECEC" w:fill="ECECEC"/>
      </w:tcPr>
    </w:tblStylePr>
  </w:style>
  <w:style w:type="table" w:customStyle="1" w:styleId="162">
    <w:name w:val="Grid Table 2 - Accent 4"/>
    <w:basedOn w:val="5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EF2CA" w:fill="FEF2CA"/>
      </w:tcPr>
    </w:tblStylePr>
    <w:tblStylePr w:type="band1Horz">
      <w:rPr>
        <w:rFonts w:ascii="等线" w:hAnsi="等线"/>
        <w:color w:val="404040"/>
        <w:sz w:val="22"/>
      </w:rPr>
      <w:tcPr>
        <w:shd w:val="clear" w:color="FEF2CA" w:fill="FEF2CA"/>
      </w:tcPr>
    </w:tblStylePr>
  </w:style>
  <w:style w:type="table" w:customStyle="1" w:styleId="163">
    <w:name w:val="Grid Table 2 - Accent 5"/>
    <w:basedOn w:val="5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8E2F2" w:fill="D8E2F2"/>
      </w:tcPr>
    </w:tblStylePr>
    <w:tblStylePr w:type="band1Horz">
      <w:rPr>
        <w:rFonts w:ascii="等线" w:hAnsi="等线"/>
        <w:color w:val="404040"/>
        <w:sz w:val="22"/>
      </w:rPr>
      <w:tcPr>
        <w:shd w:val="clear" w:color="D8E2F2" w:fill="D8E2F2"/>
      </w:tcPr>
    </w:tblStylePr>
  </w:style>
  <w:style w:type="table" w:customStyle="1" w:styleId="164">
    <w:name w:val="Grid Table 2 - Accent 6"/>
    <w:basedOn w:val="5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1EFD8" w:fill="E1EFD8"/>
      </w:tcPr>
    </w:tblStylePr>
    <w:tblStylePr w:type="band1Horz">
      <w:rPr>
        <w:rFonts w:ascii="等线" w:hAnsi="等线"/>
        <w:color w:val="404040"/>
        <w:sz w:val="22"/>
      </w:rPr>
      <w:tcPr>
        <w:shd w:val="clear" w:color="E1EFD8" w:fill="E1EFD8"/>
      </w:tcPr>
    </w:tblStylePr>
  </w:style>
  <w:style w:type="table" w:customStyle="1" w:styleId="165">
    <w:name w:val="Grid Table 3 - Accent 1"/>
    <w:basedOn w:val="5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DDEAF6" w:fill="DDEAF6"/>
      </w:tcPr>
    </w:tblStylePr>
    <w:tblStylePr w:type="band1Horz">
      <w:rPr>
        <w:rFonts w:ascii="等线" w:hAnsi="等线"/>
        <w:color w:val="404040"/>
        <w:sz w:val="22"/>
      </w:rPr>
      <w:tcPr>
        <w:shd w:val="clear" w:color="DDEAF6" w:fill="DDEAF6"/>
      </w:tcPr>
    </w:tblStylePr>
  </w:style>
  <w:style w:type="table" w:customStyle="1" w:styleId="166">
    <w:name w:val="Grid Table 3 - Accent 2"/>
    <w:basedOn w:val="5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FBE5D6" w:fill="FBE5D6"/>
      </w:tcPr>
    </w:tblStylePr>
    <w:tblStylePr w:type="band1Horz">
      <w:rPr>
        <w:rFonts w:ascii="等线" w:hAnsi="等线"/>
        <w:color w:val="404040"/>
        <w:sz w:val="22"/>
      </w:rPr>
      <w:tcPr>
        <w:shd w:val="clear" w:color="FBE5D6" w:fill="FBE5D6"/>
      </w:tcPr>
    </w:tblStylePr>
  </w:style>
  <w:style w:type="table" w:customStyle="1" w:styleId="167">
    <w:name w:val="Grid Table 3 - Accent 3"/>
    <w:basedOn w:val="5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ECECEC" w:fill="ECECEC"/>
      </w:tcPr>
    </w:tblStylePr>
    <w:tblStylePr w:type="band1Horz">
      <w:rPr>
        <w:rFonts w:ascii="等线" w:hAnsi="等线"/>
        <w:color w:val="404040"/>
        <w:sz w:val="22"/>
      </w:rPr>
      <w:tcPr>
        <w:shd w:val="clear" w:color="ECECEC" w:fill="ECECEC"/>
      </w:tcPr>
    </w:tblStylePr>
  </w:style>
  <w:style w:type="table" w:customStyle="1" w:styleId="168">
    <w:name w:val="Grid Table 3 - Accent 4"/>
    <w:basedOn w:val="5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FEF2CA" w:fill="FEF2CA"/>
      </w:tcPr>
    </w:tblStylePr>
    <w:tblStylePr w:type="band1Horz">
      <w:rPr>
        <w:rFonts w:ascii="等线" w:hAnsi="等线"/>
        <w:color w:val="404040"/>
        <w:sz w:val="22"/>
      </w:rPr>
      <w:tcPr>
        <w:shd w:val="clear" w:color="FEF2CA" w:fill="FEF2CA"/>
      </w:tcPr>
    </w:tblStylePr>
  </w:style>
  <w:style w:type="table" w:customStyle="1" w:styleId="169">
    <w:name w:val="Grid Table 3 - Accent 5"/>
    <w:basedOn w:val="5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D8E2F2" w:fill="D8E2F2"/>
      </w:tcPr>
    </w:tblStylePr>
    <w:tblStylePr w:type="band1Horz">
      <w:rPr>
        <w:rFonts w:ascii="等线" w:hAnsi="等线"/>
        <w:color w:val="404040"/>
        <w:sz w:val="22"/>
      </w:rPr>
      <w:tcPr>
        <w:shd w:val="clear" w:color="D8E2F2" w:fill="D8E2F2"/>
      </w:tcPr>
    </w:tblStylePr>
  </w:style>
  <w:style w:type="table" w:customStyle="1" w:styleId="170">
    <w:name w:val="Grid Table 3 - Accent 6"/>
    <w:basedOn w:val="5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等线" w:hAnsi="等线"/>
        <w:color w:val="404040"/>
        <w:sz w:val="22"/>
      </w:rPr>
      <w:tcPr>
        <w:shd w:val="clear" w:color="E1EFD8" w:fill="E1EFD8"/>
      </w:tcPr>
    </w:tblStylePr>
    <w:tblStylePr w:type="band1Horz">
      <w:rPr>
        <w:rFonts w:ascii="等线" w:hAnsi="等线"/>
        <w:color w:val="404040"/>
        <w:sz w:val="22"/>
      </w:rPr>
      <w:tcPr>
        <w:shd w:val="clear" w:color="E1EFD8" w:fill="E1EFD8"/>
      </w:tcPr>
    </w:tblStylePr>
  </w:style>
  <w:style w:type="table" w:customStyle="1" w:styleId="171">
    <w:name w:val="Grid Table 4 - Accent 1"/>
    <w:basedOn w:val="5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等线" w:hAnsi="等线"/>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EEBF6" w:fill="DEEBF6"/>
      </w:tcPr>
    </w:tblStylePr>
    <w:tblStylePr w:type="band1Horz">
      <w:rPr>
        <w:rFonts w:ascii="等线" w:hAnsi="等线"/>
        <w:color w:val="404040"/>
        <w:sz w:val="22"/>
      </w:rPr>
      <w:tcPr>
        <w:shd w:val="clear" w:color="DEEBF6" w:fill="DEEBF6"/>
      </w:tcPr>
    </w:tblStylePr>
  </w:style>
  <w:style w:type="table" w:customStyle="1" w:styleId="172">
    <w:name w:val="Grid Table 4 - Accent 2"/>
    <w:basedOn w:val="5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等线" w:hAnsi="等线"/>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BE5D6" w:fill="FBE5D6"/>
      </w:tcPr>
    </w:tblStylePr>
    <w:tblStylePr w:type="band1Horz">
      <w:rPr>
        <w:rFonts w:ascii="等线" w:hAnsi="等线"/>
        <w:color w:val="404040"/>
        <w:sz w:val="22"/>
      </w:rPr>
      <w:tcPr>
        <w:shd w:val="clear" w:color="FBE5D6" w:fill="FBE5D6"/>
      </w:tcPr>
    </w:tblStylePr>
  </w:style>
  <w:style w:type="table" w:customStyle="1" w:styleId="173">
    <w:name w:val="Grid Table 4 - Accent 3"/>
    <w:basedOn w:val="5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等线" w:hAnsi="等线"/>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CECEC" w:fill="ECECEC"/>
      </w:tcPr>
    </w:tblStylePr>
    <w:tblStylePr w:type="band1Horz">
      <w:rPr>
        <w:rFonts w:ascii="等线" w:hAnsi="等线"/>
        <w:color w:val="404040"/>
        <w:sz w:val="22"/>
      </w:rPr>
      <w:tcPr>
        <w:shd w:val="clear" w:color="ECECEC" w:fill="ECECEC"/>
      </w:tcPr>
    </w:tblStylePr>
  </w:style>
  <w:style w:type="table" w:customStyle="1" w:styleId="174">
    <w:name w:val="Grid Table 4 - Accent 4"/>
    <w:basedOn w:val="5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等线" w:hAnsi="等线"/>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EF2CA" w:fill="FEF2CA"/>
      </w:tcPr>
    </w:tblStylePr>
    <w:tblStylePr w:type="band1Horz">
      <w:rPr>
        <w:rFonts w:ascii="等线" w:hAnsi="等线"/>
        <w:color w:val="404040"/>
        <w:sz w:val="22"/>
      </w:rPr>
      <w:tcPr>
        <w:shd w:val="clear" w:color="FEF2CA" w:fill="FEF2CA"/>
      </w:tcPr>
    </w:tblStylePr>
  </w:style>
  <w:style w:type="table" w:customStyle="1" w:styleId="175">
    <w:name w:val="Grid Table 4 - Accent 5"/>
    <w:basedOn w:val="5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等线" w:hAnsi="等线"/>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8E2F2" w:fill="D8E2F2"/>
      </w:tcPr>
    </w:tblStylePr>
    <w:tblStylePr w:type="band1Horz">
      <w:rPr>
        <w:rFonts w:ascii="等线" w:hAnsi="等线"/>
        <w:color w:val="404040"/>
        <w:sz w:val="22"/>
      </w:rPr>
      <w:tcPr>
        <w:shd w:val="clear" w:color="D8E2F2" w:fill="D8E2F2"/>
      </w:tcPr>
    </w:tblStylePr>
  </w:style>
  <w:style w:type="table" w:customStyle="1" w:styleId="176">
    <w:name w:val="Grid Table 4 - Accent 6"/>
    <w:basedOn w:val="5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等线" w:hAnsi="等线"/>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1EFD8" w:fill="E1EFD8"/>
      </w:tcPr>
    </w:tblStylePr>
    <w:tblStylePr w:type="band1Horz">
      <w:rPr>
        <w:rFonts w:ascii="等线" w:hAnsi="等线"/>
        <w:color w:val="404040"/>
        <w:sz w:val="22"/>
      </w:rPr>
      <w:tcPr>
        <w:shd w:val="clear" w:color="E1EFD8" w:fill="E1EFD8"/>
      </w:tcPr>
    </w:tblStylePr>
  </w:style>
  <w:style w:type="table" w:customStyle="1" w:styleId="177">
    <w:name w:val="Grid Table 5 Dark- Accent 1"/>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5B9BD5" w:fill="5B9BD5"/>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等线" w:hAnsi="等线"/>
        <w:b/>
        <w:color w:val="FFFFFF"/>
        <w:sz w:val="22"/>
      </w:rPr>
      <w:tcPr>
        <w:shd w:val="clear" w:color="5B9BD5" w:fill="5B9BD5"/>
      </w:tcPr>
    </w:tblStylePr>
    <w:tblStylePr w:type="lastCol">
      <w:rPr>
        <w:rFonts w:ascii="等线" w:hAnsi="等线"/>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78">
    <w:name w:val="Grid Table 5 Dark - Accent 2"/>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ED7D31" w:fill="ED7D31"/>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等线" w:hAnsi="等线"/>
        <w:b/>
        <w:color w:val="FFFFFF"/>
        <w:sz w:val="22"/>
      </w:rPr>
      <w:tcPr>
        <w:shd w:val="clear" w:color="ED7D31" w:fill="ED7D31"/>
      </w:tcPr>
    </w:tblStylePr>
    <w:tblStylePr w:type="lastCol">
      <w:rPr>
        <w:rFonts w:ascii="等线" w:hAnsi="等线"/>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79">
    <w:name w:val="Grid Table 5 Dark - Accent 3"/>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A5A5A5" w:fill="A5A5A5"/>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等线" w:hAnsi="等线"/>
        <w:b/>
        <w:color w:val="FFFFFF"/>
        <w:sz w:val="22"/>
      </w:rPr>
      <w:tcPr>
        <w:shd w:val="clear" w:color="A5A5A5" w:fill="A5A5A5"/>
      </w:tcPr>
    </w:tblStylePr>
    <w:tblStylePr w:type="lastCol">
      <w:rPr>
        <w:rFonts w:ascii="等线" w:hAnsi="等线"/>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80">
    <w:name w:val="Grid Table 5 Dark- Accent 4"/>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FFC000" w:fill="FFC000"/>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等线" w:hAnsi="等线"/>
        <w:b/>
        <w:color w:val="FFFFFF"/>
        <w:sz w:val="22"/>
      </w:rPr>
      <w:tcPr>
        <w:shd w:val="clear" w:color="FFC000" w:fill="FFC000"/>
      </w:tcPr>
    </w:tblStylePr>
    <w:tblStylePr w:type="lastCol">
      <w:rPr>
        <w:rFonts w:ascii="等线" w:hAnsi="等线"/>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81">
    <w:name w:val="Grid Table 5 Dark - Accent 5"/>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4472C4" w:fill="4472C4"/>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等线" w:hAnsi="等线"/>
        <w:b/>
        <w:color w:val="FFFFFF"/>
        <w:sz w:val="22"/>
      </w:rPr>
      <w:tcPr>
        <w:shd w:val="clear" w:color="4472C4" w:fill="4472C4"/>
      </w:tcPr>
    </w:tblStylePr>
    <w:tblStylePr w:type="lastCol">
      <w:rPr>
        <w:rFonts w:ascii="等线" w:hAnsi="等线"/>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82">
    <w:name w:val="Grid Table 5 Dark - Accent 6"/>
    <w:basedOn w:val="5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等线" w:hAnsi="等线"/>
        <w:b/>
        <w:color w:val="FFFFFF"/>
        <w:sz w:val="22"/>
      </w:rPr>
      <w:tcPr>
        <w:shd w:val="clear" w:color="70AD47" w:fill="70AD47"/>
      </w:tcPr>
    </w:tblStylePr>
    <w:tblStylePr w:type="lastRow">
      <w:rPr>
        <w:rFonts w:ascii="等线" w:hAnsi="等线"/>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等线" w:hAnsi="等线"/>
        <w:b/>
        <w:color w:val="FFFFFF"/>
        <w:sz w:val="22"/>
      </w:rPr>
      <w:tcPr>
        <w:shd w:val="clear" w:color="70AD47" w:fill="70AD47"/>
      </w:tcPr>
    </w:tblStylePr>
    <w:tblStylePr w:type="lastCol">
      <w:rPr>
        <w:rFonts w:ascii="等线" w:hAnsi="等线"/>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83">
    <w:name w:val="Grid Table 6 Colorful - Accent 1"/>
    <w:basedOn w:val="5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等线" w:hAnsi="等线"/>
        <w:color w:val="ADCDEA"/>
        <w:sz w:val="22"/>
      </w:rPr>
      <w:tcPr>
        <w:shd w:val="clear" w:color="DDEAF6" w:fill="DDEAF6"/>
      </w:tcPr>
    </w:tblStylePr>
    <w:tblStylePr w:type="band2Horz">
      <w:rPr>
        <w:rFonts w:ascii="等线" w:hAnsi="等线"/>
        <w:color w:val="ADCDEA"/>
        <w:sz w:val="22"/>
      </w:rPr>
    </w:tblStylePr>
  </w:style>
  <w:style w:type="table" w:customStyle="1" w:styleId="184">
    <w:name w:val="Grid Table 6 Colorful - Accent 2"/>
    <w:basedOn w:val="5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等线" w:hAnsi="等线"/>
        <w:color w:val="F4B285"/>
        <w:sz w:val="22"/>
      </w:rPr>
      <w:tcPr>
        <w:shd w:val="clear" w:color="FBE5D6" w:fill="FBE5D6"/>
      </w:tcPr>
    </w:tblStylePr>
    <w:tblStylePr w:type="band2Horz">
      <w:rPr>
        <w:rFonts w:ascii="等线" w:hAnsi="等线"/>
        <w:color w:val="F4B285"/>
        <w:sz w:val="22"/>
      </w:rPr>
    </w:tblStylePr>
  </w:style>
  <w:style w:type="table" w:customStyle="1" w:styleId="185">
    <w:name w:val="Grid Table 6 Colorful - Accent 3"/>
    <w:basedOn w:val="5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等线" w:hAnsi="等线"/>
        <w:color w:val="A5A5A5"/>
        <w:sz w:val="22"/>
      </w:rPr>
      <w:tcPr>
        <w:shd w:val="clear" w:color="ECECEC" w:fill="ECECEC"/>
      </w:tcPr>
    </w:tblStylePr>
    <w:tblStylePr w:type="band2Horz">
      <w:rPr>
        <w:rFonts w:ascii="等线" w:hAnsi="等线"/>
        <w:color w:val="A5A5A5"/>
        <w:sz w:val="22"/>
      </w:rPr>
    </w:tblStylePr>
  </w:style>
  <w:style w:type="table" w:customStyle="1" w:styleId="186">
    <w:name w:val="Grid Table 6 Colorful - Accent 4"/>
    <w:basedOn w:val="5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等线" w:hAnsi="等线"/>
        <w:color w:val="FFD965"/>
        <w:sz w:val="22"/>
      </w:rPr>
      <w:tcPr>
        <w:shd w:val="clear" w:color="FEF2CA" w:fill="FEF2CA"/>
      </w:tcPr>
    </w:tblStylePr>
    <w:tblStylePr w:type="band2Horz">
      <w:rPr>
        <w:rFonts w:ascii="等线" w:hAnsi="等线"/>
        <w:color w:val="FFD965"/>
        <w:sz w:val="22"/>
      </w:rPr>
    </w:tblStylePr>
  </w:style>
  <w:style w:type="table" w:customStyle="1" w:styleId="187">
    <w:name w:val="Grid Table 6 Colorful - Accent 5"/>
    <w:basedOn w:val="5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等线" w:hAnsi="等线"/>
        <w:color w:val="244174"/>
        <w:sz w:val="22"/>
      </w:rPr>
      <w:tcPr>
        <w:shd w:val="clear" w:color="D8E2F2" w:fill="D8E2F2"/>
      </w:tcPr>
    </w:tblStylePr>
    <w:tblStylePr w:type="band2Horz">
      <w:rPr>
        <w:rFonts w:ascii="等线" w:hAnsi="等线"/>
        <w:color w:val="244174"/>
        <w:sz w:val="22"/>
      </w:rPr>
    </w:tblStylePr>
  </w:style>
  <w:style w:type="table" w:customStyle="1" w:styleId="188">
    <w:name w:val="Grid Table 6 Colorful - Accent 6"/>
    <w:basedOn w:val="5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等线" w:hAnsi="等线"/>
        <w:color w:val="244174"/>
        <w:sz w:val="22"/>
      </w:rPr>
      <w:tcPr>
        <w:shd w:val="clear" w:color="E1EFD8" w:fill="E1EFD8"/>
      </w:tcPr>
    </w:tblStylePr>
    <w:tblStylePr w:type="band2Horz">
      <w:rPr>
        <w:rFonts w:ascii="等线" w:hAnsi="等线"/>
        <w:color w:val="244174"/>
        <w:sz w:val="22"/>
      </w:rPr>
    </w:tblStylePr>
  </w:style>
  <w:style w:type="table" w:customStyle="1" w:styleId="189">
    <w:name w:val="Grid Table 7 Colorful - Accent 1"/>
    <w:basedOn w:val="5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等线" w:hAnsi="等线"/>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等线" w:hAnsi="等线"/>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等线" w:hAnsi="等线"/>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等线" w:hAnsi="等线"/>
        <w:color w:val="ADCDEA"/>
        <w:sz w:val="22"/>
      </w:rPr>
      <w:tcPr>
        <w:shd w:val="clear" w:color="DDEAF6" w:fill="DDEAF6"/>
      </w:tcPr>
    </w:tblStylePr>
    <w:tblStylePr w:type="band2Horz">
      <w:rPr>
        <w:rFonts w:ascii="等线" w:hAnsi="等线"/>
        <w:color w:val="ADCDEA"/>
        <w:sz w:val="22"/>
      </w:rPr>
    </w:tblStylePr>
  </w:style>
  <w:style w:type="table" w:customStyle="1" w:styleId="190">
    <w:name w:val="Grid Table 7 Colorful - Accent 2"/>
    <w:basedOn w:val="5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等线" w:hAnsi="等线"/>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等线" w:hAnsi="等线"/>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等线" w:hAnsi="等线"/>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等线" w:hAnsi="等线"/>
        <w:color w:val="F4B285"/>
        <w:sz w:val="22"/>
      </w:rPr>
      <w:tcPr>
        <w:shd w:val="clear" w:color="FBE5D6" w:fill="FBE5D6"/>
      </w:tcPr>
    </w:tblStylePr>
    <w:tblStylePr w:type="band2Horz">
      <w:rPr>
        <w:rFonts w:ascii="等线" w:hAnsi="等线"/>
        <w:color w:val="F4B285"/>
        <w:sz w:val="22"/>
      </w:rPr>
    </w:tblStylePr>
  </w:style>
  <w:style w:type="table" w:customStyle="1" w:styleId="191">
    <w:name w:val="Grid Table 7 Colorful - Accent 3"/>
    <w:basedOn w:val="5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等线" w:hAnsi="等线"/>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等线" w:hAnsi="等线"/>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等线" w:hAnsi="等线"/>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等线" w:hAnsi="等线"/>
        <w:color w:val="A5A5A5"/>
        <w:sz w:val="22"/>
      </w:rPr>
      <w:tcPr>
        <w:shd w:val="clear" w:color="ECECEC" w:fill="ECECEC"/>
      </w:tcPr>
    </w:tblStylePr>
    <w:tblStylePr w:type="band2Horz">
      <w:rPr>
        <w:rFonts w:ascii="等线" w:hAnsi="等线"/>
        <w:color w:val="A5A5A5"/>
        <w:sz w:val="22"/>
      </w:rPr>
    </w:tblStylePr>
  </w:style>
  <w:style w:type="table" w:customStyle="1" w:styleId="192">
    <w:name w:val="Grid Table 7 Colorful - Accent 4"/>
    <w:basedOn w:val="5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等线" w:hAnsi="等线"/>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等线" w:hAnsi="等线"/>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等线" w:hAnsi="等线"/>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等线" w:hAnsi="等线"/>
        <w:color w:val="FFD965"/>
        <w:sz w:val="22"/>
      </w:rPr>
      <w:tcPr>
        <w:shd w:val="clear" w:color="FEF2CA" w:fill="FEF2CA"/>
      </w:tcPr>
    </w:tblStylePr>
    <w:tblStylePr w:type="band2Horz">
      <w:rPr>
        <w:rFonts w:ascii="等线" w:hAnsi="等线"/>
        <w:color w:val="FFD965"/>
        <w:sz w:val="22"/>
      </w:rPr>
    </w:tblStylePr>
  </w:style>
  <w:style w:type="table" w:customStyle="1" w:styleId="193">
    <w:name w:val="Grid Table 7 Colorful - Accent 5"/>
    <w:basedOn w:val="5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等线" w:hAnsi="等线"/>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等线" w:hAnsi="等线"/>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等线" w:hAnsi="等线"/>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等线" w:hAnsi="等线"/>
        <w:color w:val="244174"/>
        <w:sz w:val="22"/>
      </w:rPr>
      <w:tcPr>
        <w:shd w:val="clear" w:color="D8E2F2" w:fill="D8E2F2"/>
      </w:tcPr>
    </w:tblStylePr>
    <w:tblStylePr w:type="band2Horz">
      <w:rPr>
        <w:rFonts w:ascii="等线" w:hAnsi="等线"/>
        <w:color w:val="244174"/>
        <w:sz w:val="22"/>
      </w:rPr>
    </w:tblStylePr>
  </w:style>
  <w:style w:type="table" w:customStyle="1" w:styleId="194">
    <w:name w:val="Grid Table 7 Colorful - Accent 6"/>
    <w:basedOn w:val="5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等线" w:hAnsi="等线"/>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等线" w:hAnsi="等线"/>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等线" w:hAnsi="等线"/>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等线" w:hAnsi="等线"/>
        <w:color w:val="416429"/>
        <w:sz w:val="22"/>
      </w:rPr>
      <w:tcPr>
        <w:shd w:val="clear" w:color="E1EFD8" w:fill="E1EFD8"/>
      </w:tcPr>
    </w:tblStylePr>
    <w:tblStylePr w:type="band2Horz">
      <w:rPr>
        <w:rFonts w:ascii="等线" w:hAnsi="等线"/>
        <w:color w:val="416429"/>
        <w:sz w:val="22"/>
      </w:rPr>
    </w:tblStylePr>
  </w:style>
  <w:style w:type="table" w:customStyle="1" w:styleId="195">
    <w:name w:val="List Table 1 Light - Accent 1"/>
    <w:basedOn w:val="5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96">
    <w:name w:val="List Table 1 Light - Accent 2"/>
    <w:basedOn w:val="5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97">
    <w:name w:val="List Table 1 Light - Accent 3"/>
    <w:basedOn w:val="5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98">
    <w:name w:val="List Table 1 Light - Accent 4"/>
    <w:basedOn w:val="5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99">
    <w:name w:val="List Table 1 Light - Accent 5"/>
    <w:basedOn w:val="5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200">
    <w:name w:val="List Table 1 Light - Accent 6"/>
    <w:basedOn w:val="5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201">
    <w:name w:val="List Table 2 - Accent 1"/>
    <w:basedOn w:val="55"/>
    <w:qFormat/>
    <w:uiPriority w:val="99"/>
    <w:tblPr>
      <w:tblBorders>
        <w:top w:val="single" w:color="A2C6E7" w:sz="4" w:space="0"/>
        <w:bottom w:val="single" w:color="A2C6E7" w:sz="4" w:space="0"/>
        <w:insideH w:val="single" w:color="A2C6E7" w:sz="4" w:space="0"/>
      </w:tblBorders>
    </w:tblPr>
    <w:tblStylePr w:type="firstRow">
      <w:rPr>
        <w:rFonts w:ascii="等线" w:hAnsi="等线"/>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等线" w:hAnsi="等线"/>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D5E5F4" w:fill="D5E5F4"/>
      </w:tcPr>
    </w:tblStylePr>
    <w:tblStylePr w:type="band1Horz">
      <w:rPr>
        <w:rFonts w:ascii="等线" w:hAnsi="等线"/>
        <w:color w:val="404040"/>
        <w:sz w:val="22"/>
      </w:rPr>
      <w:tcPr>
        <w:shd w:val="clear" w:color="D5E5F4" w:fill="D5E5F4"/>
      </w:tcPr>
    </w:tblStylePr>
  </w:style>
  <w:style w:type="table" w:customStyle="1" w:styleId="202">
    <w:name w:val="List Table 2 - Accent 2"/>
    <w:basedOn w:val="55"/>
    <w:qFormat/>
    <w:uiPriority w:val="99"/>
    <w:tblPr>
      <w:tblBorders>
        <w:top w:val="single" w:color="F4B58A" w:sz="4" w:space="0"/>
        <w:bottom w:val="single" w:color="F4B58A" w:sz="4" w:space="0"/>
        <w:insideH w:val="single" w:color="F4B58A" w:sz="4" w:space="0"/>
      </w:tblBorders>
    </w:tblPr>
    <w:tblStylePr w:type="firstRow">
      <w:rPr>
        <w:rFonts w:ascii="等线" w:hAnsi="等线"/>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等线" w:hAnsi="等线"/>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FADECB" w:fill="FADECB"/>
      </w:tcPr>
    </w:tblStylePr>
    <w:tblStylePr w:type="band1Horz">
      <w:rPr>
        <w:rFonts w:ascii="等线" w:hAnsi="等线"/>
        <w:color w:val="404040"/>
        <w:sz w:val="22"/>
      </w:rPr>
      <w:tcPr>
        <w:shd w:val="clear" w:color="FADECB" w:fill="FADECB"/>
      </w:tcPr>
    </w:tblStylePr>
  </w:style>
  <w:style w:type="table" w:customStyle="1" w:styleId="203">
    <w:name w:val="List Table 2 - Accent 3"/>
    <w:basedOn w:val="55"/>
    <w:qFormat/>
    <w:uiPriority w:val="99"/>
    <w:tblPr>
      <w:tblBorders>
        <w:top w:val="single" w:color="CCCCCC" w:sz="4" w:space="0"/>
        <w:bottom w:val="single" w:color="CCCCCC" w:sz="4" w:space="0"/>
        <w:insideH w:val="single" w:color="CCCCCC" w:sz="4" w:space="0"/>
      </w:tblBorders>
    </w:tblPr>
    <w:tblStylePr w:type="firstRow">
      <w:rPr>
        <w:rFonts w:ascii="等线" w:hAnsi="等线"/>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等线" w:hAnsi="等线"/>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E8E8E8" w:fill="E8E8E8"/>
      </w:tcPr>
    </w:tblStylePr>
    <w:tblStylePr w:type="band1Horz">
      <w:rPr>
        <w:rFonts w:ascii="等线" w:hAnsi="等线"/>
        <w:color w:val="404040"/>
        <w:sz w:val="22"/>
      </w:rPr>
      <w:tcPr>
        <w:shd w:val="clear" w:color="E8E8E8" w:fill="E8E8E8"/>
      </w:tcPr>
    </w:tblStylePr>
  </w:style>
  <w:style w:type="table" w:customStyle="1" w:styleId="204">
    <w:name w:val="List Table 2 - Accent 4"/>
    <w:basedOn w:val="55"/>
    <w:qFormat/>
    <w:uiPriority w:val="99"/>
    <w:tblPr>
      <w:tblBorders>
        <w:top w:val="single" w:color="FFDB6E" w:sz="4" w:space="0"/>
        <w:bottom w:val="single" w:color="FFDB6E" w:sz="4" w:space="0"/>
        <w:insideH w:val="single" w:color="FFDB6E" w:sz="4" w:space="0"/>
      </w:tblBorders>
    </w:tblPr>
    <w:tblStylePr w:type="firstRow">
      <w:rPr>
        <w:rFonts w:ascii="等线" w:hAnsi="等线"/>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等线" w:hAnsi="等线"/>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FFEFBE" w:fill="FFEFBE"/>
      </w:tcPr>
    </w:tblStylePr>
    <w:tblStylePr w:type="band1Horz">
      <w:rPr>
        <w:rFonts w:ascii="等线" w:hAnsi="等线"/>
        <w:color w:val="404040"/>
        <w:sz w:val="22"/>
      </w:rPr>
      <w:tcPr>
        <w:shd w:val="clear" w:color="FFEFBE" w:fill="FFEFBE"/>
      </w:tcPr>
    </w:tblStylePr>
  </w:style>
  <w:style w:type="table" w:customStyle="1" w:styleId="205">
    <w:name w:val="List Table 2 - Accent 5"/>
    <w:basedOn w:val="55"/>
    <w:qFormat/>
    <w:uiPriority w:val="99"/>
    <w:tblPr>
      <w:tblBorders>
        <w:top w:val="single" w:color="95AFDD" w:sz="4" w:space="0"/>
        <w:bottom w:val="single" w:color="95AFDD" w:sz="4" w:space="0"/>
        <w:insideH w:val="single" w:color="95AFDD" w:sz="4" w:space="0"/>
      </w:tblBorders>
    </w:tblPr>
    <w:tblStylePr w:type="firstRow">
      <w:rPr>
        <w:rFonts w:ascii="等线" w:hAnsi="等线"/>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等线" w:hAnsi="等线"/>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D0DBF0" w:fill="D0DBF0"/>
      </w:tcPr>
    </w:tblStylePr>
    <w:tblStylePr w:type="band1Horz">
      <w:rPr>
        <w:rFonts w:ascii="等线" w:hAnsi="等线"/>
        <w:color w:val="404040"/>
        <w:sz w:val="22"/>
      </w:rPr>
      <w:tcPr>
        <w:shd w:val="clear" w:color="D0DBF0" w:fill="D0DBF0"/>
      </w:tcPr>
    </w:tblStylePr>
  </w:style>
  <w:style w:type="table" w:customStyle="1" w:styleId="206">
    <w:name w:val="List Table 2 - Accent 6"/>
    <w:basedOn w:val="55"/>
    <w:qFormat/>
    <w:uiPriority w:val="99"/>
    <w:tblPr>
      <w:tblBorders>
        <w:top w:val="single" w:color="ADD394" w:sz="4" w:space="0"/>
        <w:bottom w:val="single" w:color="ADD394" w:sz="4" w:space="0"/>
        <w:insideH w:val="single" w:color="ADD394" w:sz="4" w:space="0"/>
      </w:tblBorders>
    </w:tblPr>
    <w:tblStylePr w:type="firstRow">
      <w:rPr>
        <w:rFonts w:ascii="等线" w:hAnsi="等线"/>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等线" w:hAnsi="等线"/>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等线" w:hAnsi="等线"/>
        <w:b/>
        <w:color w:val="404040"/>
        <w:sz w:val="22"/>
      </w:rPr>
    </w:tblStylePr>
    <w:tblStylePr w:type="lastCol">
      <w:rPr>
        <w:rFonts w:ascii="等线" w:hAnsi="等线"/>
        <w:b/>
        <w:color w:val="404040"/>
        <w:sz w:val="22"/>
      </w:rPr>
    </w:tblStylePr>
    <w:tblStylePr w:type="band1Vert">
      <w:rPr>
        <w:rFonts w:ascii="等线" w:hAnsi="等线"/>
        <w:color w:val="404040"/>
        <w:sz w:val="22"/>
      </w:rPr>
      <w:tcPr>
        <w:shd w:val="clear" w:color="DAEBCF" w:fill="DAEBCF"/>
      </w:tcPr>
    </w:tblStylePr>
    <w:tblStylePr w:type="band1Horz">
      <w:rPr>
        <w:rFonts w:ascii="等线" w:hAnsi="等线"/>
        <w:color w:val="404040"/>
        <w:sz w:val="22"/>
      </w:rPr>
      <w:tcPr>
        <w:shd w:val="clear" w:color="DAEBCF" w:fill="DAEBCF"/>
      </w:tcPr>
    </w:tblStylePr>
  </w:style>
  <w:style w:type="table" w:customStyle="1" w:styleId="207">
    <w:name w:val="List Table 3 - Accent 1"/>
    <w:basedOn w:val="5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等线" w:hAnsi="等线"/>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等线" w:hAnsi="等线"/>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208">
    <w:name w:val="List Table 3 - Accent 2"/>
    <w:basedOn w:val="5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等线" w:hAnsi="等线"/>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等线" w:hAnsi="等线"/>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209">
    <w:name w:val="List Table 3 - Accent 3"/>
    <w:basedOn w:val="5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等线" w:hAnsi="等线"/>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等线" w:hAnsi="等线"/>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210">
    <w:name w:val="List Table 3 - Accent 4"/>
    <w:basedOn w:val="5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等线" w:hAnsi="等线"/>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等线" w:hAnsi="等线"/>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211">
    <w:name w:val="List Table 3 - Accent 5"/>
    <w:basedOn w:val="5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等线" w:hAnsi="等线"/>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等线" w:hAnsi="等线"/>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212">
    <w:name w:val="List Table 3 - Accent 6"/>
    <w:basedOn w:val="5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等线" w:hAnsi="等线"/>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等线" w:hAnsi="等线"/>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213">
    <w:name w:val="List Table 4 - Accent 1"/>
    <w:basedOn w:val="5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等线" w:hAnsi="等线"/>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5E5F4" w:fill="D5E5F4"/>
      </w:tcPr>
    </w:tblStylePr>
    <w:tblStylePr w:type="band1Horz">
      <w:rPr>
        <w:rFonts w:ascii="等线" w:hAnsi="等线"/>
        <w:color w:val="404040"/>
        <w:sz w:val="22"/>
      </w:rPr>
      <w:tcPr>
        <w:shd w:val="clear" w:color="D5E5F4" w:fill="D5E5F4"/>
      </w:tcPr>
    </w:tblStylePr>
  </w:style>
  <w:style w:type="table" w:customStyle="1" w:styleId="214">
    <w:name w:val="List Table 4 - Accent 2"/>
    <w:basedOn w:val="5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等线" w:hAnsi="等线"/>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ADECB" w:fill="FADECB"/>
      </w:tcPr>
    </w:tblStylePr>
    <w:tblStylePr w:type="band1Horz">
      <w:rPr>
        <w:rFonts w:ascii="等线" w:hAnsi="等线"/>
        <w:color w:val="404040"/>
        <w:sz w:val="22"/>
      </w:rPr>
      <w:tcPr>
        <w:shd w:val="clear" w:color="FADECB" w:fill="FADECB"/>
      </w:tcPr>
    </w:tblStylePr>
  </w:style>
  <w:style w:type="table" w:customStyle="1" w:styleId="215">
    <w:name w:val="List Table 4 - Accent 3"/>
    <w:basedOn w:val="5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等线" w:hAnsi="等线"/>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E8E8E8" w:fill="E8E8E8"/>
      </w:tcPr>
    </w:tblStylePr>
    <w:tblStylePr w:type="band1Horz">
      <w:rPr>
        <w:rFonts w:ascii="等线" w:hAnsi="等线"/>
        <w:color w:val="404040"/>
        <w:sz w:val="22"/>
      </w:rPr>
      <w:tcPr>
        <w:shd w:val="clear" w:color="E8E8E8" w:fill="E8E8E8"/>
      </w:tcPr>
    </w:tblStylePr>
  </w:style>
  <w:style w:type="table" w:customStyle="1" w:styleId="216">
    <w:name w:val="List Table 4 - Accent 4"/>
    <w:basedOn w:val="5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等线" w:hAnsi="等线"/>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FFEFBE" w:fill="FFEFBE"/>
      </w:tcPr>
    </w:tblStylePr>
    <w:tblStylePr w:type="band1Horz">
      <w:rPr>
        <w:rFonts w:ascii="等线" w:hAnsi="等线"/>
        <w:color w:val="404040"/>
        <w:sz w:val="22"/>
      </w:rPr>
      <w:tcPr>
        <w:shd w:val="clear" w:color="FFEFBE" w:fill="FFEFBE"/>
      </w:tcPr>
    </w:tblStylePr>
  </w:style>
  <w:style w:type="table" w:customStyle="1" w:styleId="217">
    <w:name w:val="List Table 4 - Accent 5"/>
    <w:basedOn w:val="5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等线" w:hAnsi="等线"/>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0DBF0" w:fill="D0DBF0"/>
      </w:tcPr>
    </w:tblStylePr>
    <w:tblStylePr w:type="band1Horz">
      <w:rPr>
        <w:rFonts w:ascii="等线" w:hAnsi="等线"/>
        <w:color w:val="404040"/>
        <w:sz w:val="22"/>
      </w:rPr>
      <w:tcPr>
        <w:shd w:val="clear" w:color="D0DBF0" w:fill="D0DBF0"/>
      </w:tcPr>
    </w:tblStylePr>
  </w:style>
  <w:style w:type="table" w:customStyle="1" w:styleId="218">
    <w:name w:val="List Table 4 - Accent 6"/>
    <w:basedOn w:val="5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等线" w:hAnsi="等线"/>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等线" w:hAnsi="等线"/>
        <w:color w:val="404040"/>
        <w:sz w:val="22"/>
      </w:rPr>
      <w:tcPr>
        <w:shd w:val="clear" w:color="DAEBCF" w:fill="DAEBCF"/>
      </w:tcPr>
    </w:tblStylePr>
    <w:tblStylePr w:type="band1Horz">
      <w:rPr>
        <w:rFonts w:ascii="等线" w:hAnsi="等线"/>
        <w:color w:val="404040"/>
        <w:sz w:val="22"/>
      </w:rPr>
      <w:tcPr>
        <w:shd w:val="clear" w:color="DAEBCF" w:fill="DAEBCF"/>
      </w:tcPr>
    </w:tblStylePr>
  </w:style>
  <w:style w:type="table" w:customStyle="1" w:styleId="219">
    <w:name w:val="List Table 5 Dark - Accent 1"/>
    <w:basedOn w:val="5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等线" w:hAnsi="等线"/>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220">
    <w:name w:val="List Table 5 Dark - Accent 2"/>
    <w:basedOn w:val="5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等线" w:hAnsi="等线"/>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221">
    <w:name w:val="List Table 5 Dark - Accent 3"/>
    <w:basedOn w:val="5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等线" w:hAnsi="等线"/>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222">
    <w:name w:val="List Table 5 Dark - Accent 4"/>
    <w:basedOn w:val="5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等线" w:hAnsi="等线"/>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223">
    <w:name w:val="List Table 5 Dark - Accent 5"/>
    <w:basedOn w:val="5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等线" w:hAnsi="等线"/>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224">
    <w:name w:val="List Table 5 Dark - Accent 6"/>
    <w:basedOn w:val="5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等线" w:hAnsi="等线"/>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等线" w:hAnsi="等线"/>
        <w:b/>
        <w:color w:val="FFFFFF"/>
        <w:sz w:val="22"/>
      </w:rPr>
    </w:tblStylePr>
    <w:tblStylePr w:type="firstCol">
      <w:rPr>
        <w:rFonts w:ascii="等线" w:hAnsi="等线"/>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25">
    <w:name w:val="List Table 6 Colorful - Accent 1"/>
    <w:basedOn w:val="5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等线" w:hAnsi="等线"/>
        <w:color w:val="235A8C"/>
        <w:sz w:val="22"/>
      </w:rPr>
      <w:tcPr>
        <w:shd w:val="clear" w:color="D5E5F4" w:fill="D5E5F4"/>
      </w:tcPr>
    </w:tblStylePr>
    <w:tblStylePr w:type="band2Horz">
      <w:rPr>
        <w:rFonts w:ascii="等线" w:hAnsi="等线"/>
        <w:color w:val="235A8C"/>
        <w:sz w:val="22"/>
      </w:rPr>
    </w:tblStylePr>
  </w:style>
  <w:style w:type="table" w:customStyle="1" w:styleId="226">
    <w:name w:val="List Table 6 Colorful - Accent 2"/>
    <w:basedOn w:val="5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等线" w:hAnsi="等线"/>
        <w:color w:val="F4B285"/>
        <w:sz w:val="22"/>
      </w:rPr>
      <w:tcPr>
        <w:shd w:val="clear" w:color="FADECB" w:fill="FADECB"/>
      </w:tcPr>
    </w:tblStylePr>
    <w:tblStylePr w:type="band2Horz">
      <w:rPr>
        <w:rFonts w:ascii="等线" w:hAnsi="等线"/>
        <w:color w:val="F4B285"/>
        <w:sz w:val="22"/>
      </w:rPr>
    </w:tblStylePr>
  </w:style>
  <w:style w:type="table" w:customStyle="1" w:styleId="227">
    <w:name w:val="List Table 6 Colorful - Accent 3"/>
    <w:basedOn w:val="5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等线" w:hAnsi="等线"/>
        <w:color w:val="C8C8C8"/>
        <w:sz w:val="22"/>
      </w:rPr>
      <w:tcPr>
        <w:shd w:val="clear" w:color="E8E8E8" w:fill="E8E8E8"/>
      </w:tcPr>
    </w:tblStylePr>
    <w:tblStylePr w:type="band2Horz">
      <w:rPr>
        <w:rFonts w:ascii="等线" w:hAnsi="等线"/>
        <w:color w:val="C8C8C8"/>
        <w:sz w:val="22"/>
      </w:rPr>
    </w:tblStylePr>
  </w:style>
  <w:style w:type="table" w:customStyle="1" w:styleId="228">
    <w:name w:val="List Table 6 Colorful - Accent 4"/>
    <w:basedOn w:val="5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等线" w:hAnsi="等线"/>
        <w:color w:val="FFD965"/>
        <w:sz w:val="22"/>
      </w:rPr>
      <w:tcPr>
        <w:shd w:val="clear" w:color="FFEFBE" w:fill="FFEFBE"/>
      </w:tcPr>
    </w:tblStylePr>
    <w:tblStylePr w:type="band2Horz">
      <w:rPr>
        <w:rFonts w:ascii="等线" w:hAnsi="等线"/>
        <w:color w:val="FFD965"/>
        <w:sz w:val="22"/>
      </w:rPr>
    </w:tblStylePr>
  </w:style>
  <w:style w:type="table" w:customStyle="1" w:styleId="229">
    <w:name w:val="List Table 6 Colorful - Accent 5"/>
    <w:basedOn w:val="5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等线" w:hAnsi="等线"/>
        <w:color w:val="8EAADB"/>
        <w:sz w:val="22"/>
      </w:rPr>
      <w:tcPr>
        <w:shd w:val="clear" w:color="D0DBF0" w:fill="D0DBF0"/>
      </w:tcPr>
    </w:tblStylePr>
    <w:tblStylePr w:type="band2Horz">
      <w:rPr>
        <w:rFonts w:ascii="等线" w:hAnsi="等线"/>
        <w:color w:val="8EAADB"/>
        <w:sz w:val="22"/>
      </w:rPr>
    </w:tblStylePr>
  </w:style>
  <w:style w:type="table" w:customStyle="1" w:styleId="230">
    <w:name w:val="List Table 6 Colorful - Accent 6"/>
    <w:basedOn w:val="5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等线" w:hAnsi="等线"/>
        <w:color w:val="A8D08D"/>
        <w:sz w:val="22"/>
      </w:rPr>
      <w:tcPr>
        <w:shd w:val="clear" w:color="DAEBCF" w:fill="DAEBCF"/>
      </w:tcPr>
    </w:tblStylePr>
    <w:tblStylePr w:type="band2Horz">
      <w:rPr>
        <w:rFonts w:ascii="等线" w:hAnsi="等线"/>
        <w:color w:val="A8D08D"/>
        <w:sz w:val="22"/>
      </w:rPr>
    </w:tblStylePr>
  </w:style>
  <w:style w:type="table" w:customStyle="1" w:styleId="231">
    <w:name w:val="List Table 7 Colorful - Accent 1"/>
    <w:basedOn w:val="55"/>
    <w:qFormat/>
    <w:uiPriority w:val="99"/>
    <w:tblPr>
      <w:tblBorders>
        <w:right w:val="single" w:color="5B9BD5" w:sz="4" w:space="0"/>
      </w:tblBorders>
    </w:tblPr>
    <w:tblStylePr w:type="firstRow">
      <w:rPr>
        <w:rFonts w:ascii="等线" w:hAnsi="等线"/>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等线" w:hAnsi="等线"/>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等线" w:hAnsi="等线"/>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等线" w:hAnsi="等线"/>
        <w:color w:val="235A8C"/>
        <w:sz w:val="22"/>
      </w:rPr>
      <w:tcPr>
        <w:shd w:val="clear" w:color="D5E5F4" w:fill="D5E5F4"/>
      </w:tcPr>
    </w:tblStylePr>
    <w:tblStylePr w:type="band2Horz">
      <w:rPr>
        <w:rFonts w:ascii="等线" w:hAnsi="等线"/>
        <w:color w:val="235A8C"/>
        <w:sz w:val="22"/>
      </w:rPr>
    </w:tblStylePr>
  </w:style>
  <w:style w:type="table" w:customStyle="1" w:styleId="232">
    <w:name w:val="List Table 7 Colorful - Accent 2"/>
    <w:basedOn w:val="55"/>
    <w:qFormat/>
    <w:uiPriority w:val="99"/>
    <w:tblPr>
      <w:tblBorders>
        <w:right w:val="single" w:color="F4B285" w:sz="4" w:space="0"/>
      </w:tblBorders>
    </w:tblPr>
    <w:tblStylePr w:type="firstRow">
      <w:rPr>
        <w:rFonts w:ascii="等线" w:hAnsi="等线"/>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等线" w:hAnsi="等线"/>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等线" w:hAnsi="等线"/>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等线" w:hAnsi="等线"/>
        <w:color w:val="F4B285"/>
        <w:sz w:val="22"/>
      </w:rPr>
      <w:tcPr>
        <w:shd w:val="clear" w:color="FADECB" w:fill="FADECB"/>
      </w:tcPr>
    </w:tblStylePr>
    <w:tblStylePr w:type="band2Horz">
      <w:rPr>
        <w:rFonts w:ascii="等线" w:hAnsi="等线"/>
        <w:color w:val="F4B285"/>
        <w:sz w:val="22"/>
      </w:rPr>
    </w:tblStylePr>
  </w:style>
  <w:style w:type="table" w:customStyle="1" w:styleId="233">
    <w:name w:val="List Table 7 Colorful - Accent 3"/>
    <w:basedOn w:val="55"/>
    <w:qFormat/>
    <w:uiPriority w:val="99"/>
    <w:tblPr>
      <w:tblBorders>
        <w:right w:val="single" w:color="C9C9C9" w:sz="4" w:space="0"/>
      </w:tblBorders>
    </w:tblPr>
    <w:tblStylePr w:type="firstRow">
      <w:rPr>
        <w:rFonts w:ascii="等线" w:hAnsi="等线"/>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等线" w:hAnsi="等线"/>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等线" w:hAnsi="等线"/>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等线" w:hAnsi="等线"/>
        <w:color w:val="C8C8C8"/>
        <w:sz w:val="22"/>
      </w:rPr>
      <w:tcPr>
        <w:shd w:val="clear" w:color="E8E8E8" w:fill="E8E8E8"/>
      </w:tcPr>
    </w:tblStylePr>
    <w:tblStylePr w:type="band2Horz">
      <w:rPr>
        <w:rFonts w:ascii="等线" w:hAnsi="等线"/>
        <w:color w:val="C8C8C8"/>
        <w:sz w:val="22"/>
      </w:rPr>
    </w:tblStylePr>
  </w:style>
  <w:style w:type="table" w:customStyle="1" w:styleId="234">
    <w:name w:val="List Table 7 Colorful - Accent 4"/>
    <w:basedOn w:val="55"/>
    <w:qFormat/>
    <w:uiPriority w:val="99"/>
    <w:tblPr>
      <w:tblBorders>
        <w:right w:val="single" w:color="FFD864" w:sz="4" w:space="0"/>
      </w:tblBorders>
    </w:tblPr>
    <w:tblStylePr w:type="firstRow">
      <w:rPr>
        <w:rFonts w:ascii="等线" w:hAnsi="等线"/>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等线" w:hAnsi="等线"/>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等线" w:hAnsi="等线"/>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等线" w:hAnsi="等线"/>
        <w:color w:val="FFD965"/>
        <w:sz w:val="22"/>
      </w:rPr>
      <w:tcPr>
        <w:shd w:val="clear" w:color="FFEFBE" w:fill="FFEFBE"/>
      </w:tcPr>
    </w:tblStylePr>
    <w:tblStylePr w:type="band2Horz">
      <w:rPr>
        <w:rFonts w:ascii="等线" w:hAnsi="等线"/>
        <w:color w:val="FFD965"/>
        <w:sz w:val="22"/>
      </w:rPr>
    </w:tblStylePr>
  </w:style>
  <w:style w:type="table" w:customStyle="1" w:styleId="235">
    <w:name w:val="List Table 7 Colorful - Accent 5"/>
    <w:basedOn w:val="55"/>
    <w:qFormat/>
    <w:uiPriority w:val="99"/>
    <w:tblPr>
      <w:tblBorders>
        <w:right w:val="single" w:color="8EA9DB" w:sz="4" w:space="0"/>
      </w:tblBorders>
    </w:tblPr>
    <w:tblStylePr w:type="firstRow">
      <w:rPr>
        <w:rFonts w:ascii="等线" w:hAnsi="等线"/>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等线" w:hAnsi="等线"/>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等线" w:hAnsi="等线"/>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等线" w:hAnsi="等线"/>
        <w:color w:val="8EAADB"/>
        <w:sz w:val="22"/>
      </w:rPr>
      <w:tcPr>
        <w:shd w:val="clear" w:color="D0DBF0" w:fill="D0DBF0"/>
      </w:tcPr>
    </w:tblStylePr>
    <w:tblStylePr w:type="band2Horz">
      <w:rPr>
        <w:rFonts w:ascii="等线" w:hAnsi="等线"/>
        <w:color w:val="8EAADB"/>
        <w:sz w:val="22"/>
      </w:rPr>
    </w:tblStylePr>
  </w:style>
  <w:style w:type="table" w:customStyle="1" w:styleId="236">
    <w:name w:val="List Table 7 Colorful - Accent 6"/>
    <w:basedOn w:val="55"/>
    <w:qFormat/>
    <w:uiPriority w:val="99"/>
    <w:tblPr>
      <w:tblBorders>
        <w:right w:val="single" w:color="A9D08E" w:sz="4" w:space="0"/>
      </w:tblBorders>
    </w:tblPr>
    <w:tblStylePr w:type="firstRow">
      <w:rPr>
        <w:rFonts w:ascii="等线" w:hAnsi="等线"/>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等线" w:hAnsi="等线"/>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等线" w:hAnsi="等线"/>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等线" w:hAnsi="等线"/>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等线" w:hAnsi="等线"/>
        <w:color w:val="A8D08D"/>
        <w:sz w:val="22"/>
      </w:rPr>
      <w:tcPr>
        <w:shd w:val="clear" w:color="DAEBCF" w:fill="DAEBCF"/>
      </w:tcPr>
    </w:tblStylePr>
    <w:tblStylePr w:type="band2Horz">
      <w:rPr>
        <w:rFonts w:ascii="等线" w:hAnsi="等线"/>
        <w:color w:val="A8D08D"/>
        <w:sz w:val="22"/>
      </w:rPr>
    </w:tblStylePr>
  </w:style>
  <w:style w:type="table" w:customStyle="1" w:styleId="237">
    <w:name w:val="Lined - Accent"/>
    <w:basedOn w:val="55"/>
    <w:qFormat/>
    <w:uiPriority w:val="99"/>
    <w:rPr>
      <w:color w:val="404040"/>
    </w:rPr>
    <w:tblStylePr w:type="firstRow">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tblStylePr w:type="firstCol">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band1Vert">
      <w:rPr>
        <w:rFonts w:ascii="等线" w:hAnsi="等线"/>
        <w:color w:val="404040"/>
        <w:sz w:val="22"/>
      </w:rPr>
    </w:tblStylePr>
    <w:tblStylePr w:type="band2Vert">
      <w:rPr>
        <w:rFonts w:ascii="等线" w:hAnsi="等线"/>
        <w:color w:val="404040"/>
        <w:sz w:val="22"/>
      </w:rPr>
      <w:tcPr>
        <w:shd w:val="clear" w:color="F1F1F1" w:fill="F1F1F1"/>
      </w:tcPr>
    </w:tblStylePr>
    <w:tblStylePr w:type="band1Horz">
      <w:rPr>
        <w:rFonts w:ascii="等线" w:hAnsi="等线"/>
        <w:color w:val="404040"/>
        <w:sz w:val="22"/>
      </w:rPr>
    </w:tblStylePr>
    <w:tblStylePr w:type="band2Horz">
      <w:rPr>
        <w:rFonts w:ascii="等线" w:hAnsi="等线"/>
        <w:color w:val="404040"/>
        <w:sz w:val="22"/>
      </w:rPr>
      <w:tcPr>
        <w:shd w:val="clear" w:color="F1F1F1" w:fill="F1F1F1"/>
      </w:tcPr>
    </w:tblStylePr>
  </w:style>
  <w:style w:type="table" w:customStyle="1" w:styleId="238">
    <w:name w:val="Lined - Accent 1"/>
    <w:basedOn w:val="55"/>
    <w:qFormat/>
    <w:uiPriority w:val="99"/>
    <w:rPr>
      <w:color w:val="404040"/>
    </w:rPr>
    <w:tblStylePr w:type="firstRow">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tblStylePr w:type="firstCol">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band1Vert">
      <w:rPr>
        <w:rFonts w:ascii="等线" w:hAnsi="等线"/>
        <w:color w:val="404040"/>
        <w:sz w:val="22"/>
      </w:rPr>
    </w:tblStylePr>
    <w:tblStylePr w:type="band2Vert">
      <w:rPr>
        <w:rFonts w:ascii="等线" w:hAnsi="等线"/>
        <w:color w:val="404040"/>
        <w:sz w:val="22"/>
      </w:rPr>
      <w:tcPr>
        <w:shd w:val="clear" w:color="CBDFF1" w:fill="CBDFF1"/>
      </w:tcPr>
    </w:tblStylePr>
    <w:tblStylePr w:type="band1Horz">
      <w:rPr>
        <w:rFonts w:ascii="等线" w:hAnsi="等线"/>
        <w:color w:val="404040"/>
        <w:sz w:val="22"/>
      </w:rPr>
    </w:tblStylePr>
    <w:tblStylePr w:type="band2Horz">
      <w:rPr>
        <w:rFonts w:ascii="等线" w:hAnsi="等线"/>
        <w:color w:val="404040"/>
        <w:sz w:val="22"/>
      </w:rPr>
      <w:tcPr>
        <w:shd w:val="clear" w:color="CBDFF1" w:fill="CBDFF1"/>
      </w:tcPr>
    </w:tblStylePr>
  </w:style>
  <w:style w:type="table" w:customStyle="1" w:styleId="239">
    <w:name w:val="Lined - Accent 2"/>
    <w:basedOn w:val="55"/>
    <w:qFormat/>
    <w:uiPriority w:val="99"/>
    <w:rPr>
      <w:color w:val="404040"/>
    </w:rPr>
    <w:tblStylePr w:type="firstRow">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tblStylePr w:type="firstCol">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band1Vert">
      <w:rPr>
        <w:rFonts w:ascii="等线" w:hAnsi="等线"/>
        <w:color w:val="404040"/>
        <w:sz w:val="22"/>
      </w:rPr>
    </w:tblStylePr>
    <w:tblStylePr w:type="band2Vert">
      <w:rPr>
        <w:rFonts w:ascii="等线" w:hAnsi="等线"/>
        <w:color w:val="404040"/>
        <w:sz w:val="22"/>
      </w:rPr>
      <w:tcPr>
        <w:shd w:val="clear" w:color="FBE5D6" w:fill="FBE5D6"/>
      </w:tcPr>
    </w:tblStylePr>
    <w:tblStylePr w:type="band1Horz">
      <w:rPr>
        <w:rFonts w:ascii="等线" w:hAnsi="等线"/>
        <w:color w:val="404040"/>
        <w:sz w:val="22"/>
      </w:rPr>
    </w:tblStylePr>
    <w:tblStylePr w:type="band2Horz">
      <w:rPr>
        <w:rFonts w:ascii="等线" w:hAnsi="等线"/>
        <w:color w:val="404040"/>
        <w:sz w:val="22"/>
      </w:rPr>
      <w:tcPr>
        <w:shd w:val="clear" w:color="FBE5D6" w:fill="FBE5D6"/>
      </w:tcPr>
    </w:tblStylePr>
  </w:style>
  <w:style w:type="table" w:customStyle="1" w:styleId="240">
    <w:name w:val="Lined - Accent 3"/>
    <w:basedOn w:val="55"/>
    <w:qFormat/>
    <w:uiPriority w:val="99"/>
    <w:rPr>
      <w:color w:val="404040"/>
    </w:rPr>
    <w:tblStylePr w:type="firstRow">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tblStylePr w:type="firstCol">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band1Vert">
      <w:rPr>
        <w:rFonts w:ascii="等线" w:hAnsi="等线"/>
        <w:color w:val="404040"/>
        <w:sz w:val="22"/>
      </w:rPr>
    </w:tblStylePr>
    <w:tblStylePr w:type="band2Vert">
      <w:rPr>
        <w:rFonts w:ascii="等线" w:hAnsi="等线"/>
        <w:color w:val="404040"/>
        <w:sz w:val="22"/>
      </w:rPr>
      <w:tcPr>
        <w:shd w:val="clear" w:color="ECECEC" w:fill="ECECEC"/>
      </w:tcPr>
    </w:tblStylePr>
    <w:tblStylePr w:type="band1Horz">
      <w:rPr>
        <w:rFonts w:ascii="等线" w:hAnsi="等线"/>
        <w:color w:val="404040"/>
        <w:sz w:val="22"/>
      </w:rPr>
    </w:tblStylePr>
    <w:tblStylePr w:type="band2Horz">
      <w:rPr>
        <w:rFonts w:ascii="等线" w:hAnsi="等线"/>
        <w:color w:val="404040"/>
        <w:sz w:val="22"/>
      </w:rPr>
      <w:tcPr>
        <w:shd w:val="clear" w:color="ECECEC" w:fill="ECECEC"/>
      </w:tcPr>
    </w:tblStylePr>
  </w:style>
  <w:style w:type="table" w:customStyle="1" w:styleId="241">
    <w:name w:val="Lined - Accent 4"/>
    <w:basedOn w:val="55"/>
    <w:qFormat/>
    <w:uiPriority w:val="99"/>
    <w:rPr>
      <w:color w:val="404040"/>
    </w:rPr>
    <w:tblStylePr w:type="firstRow">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tblStylePr w:type="firstCol">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band1Vert">
      <w:rPr>
        <w:rFonts w:ascii="等线" w:hAnsi="等线"/>
        <w:color w:val="404040"/>
        <w:sz w:val="22"/>
      </w:rPr>
    </w:tblStylePr>
    <w:tblStylePr w:type="band2Vert">
      <w:rPr>
        <w:rFonts w:ascii="等线" w:hAnsi="等线"/>
        <w:color w:val="404040"/>
        <w:sz w:val="22"/>
      </w:rPr>
      <w:tcPr>
        <w:shd w:val="clear" w:color="FEF2CA" w:fill="FEF2CA"/>
      </w:tcPr>
    </w:tblStylePr>
    <w:tblStylePr w:type="band1Horz">
      <w:rPr>
        <w:rFonts w:ascii="等线" w:hAnsi="等线"/>
        <w:color w:val="404040"/>
        <w:sz w:val="22"/>
      </w:rPr>
    </w:tblStylePr>
    <w:tblStylePr w:type="band2Horz">
      <w:rPr>
        <w:rFonts w:ascii="等线" w:hAnsi="等线"/>
        <w:color w:val="404040"/>
        <w:sz w:val="22"/>
      </w:rPr>
      <w:tcPr>
        <w:shd w:val="clear" w:color="FEF2CA" w:fill="FEF2CA"/>
      </w:tcPr>
    </w:tblStylePr>
  </w:style>
  <w:style w:type="table" w:customStyle="1" w:styleId="242">
    <w:name w:val="Lined - Accent 5"/>
    <w:basedOn w:val="55"/>
    <w:qFormat/>
    <w:uiPriority w:val="99"/>
    <w:rPr>
      <w:color w:val="404040"/>
    </w:rPr>
    <w:tblStylePr w:type="firstRow">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tblStylePr w:type="firstCol">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band1Vert">
      <w:rPr>
        <w:rFonts w:ascii="等线" w:hAnsi="等线"/>
        <w:color w:val="404040"/>
        <w:sz w:val="22"/>
      </w:rPr>
    </w:tblStylePr>
    <w:tblStylePr w:type="band2Vert">
      <w:rPr>
        <w:rFonts w:ascii="等线" w:hAnsi="等线"/>
        <w:color w:val="404040"/>
        <w:sz w:val="22"/>
      </w:rPr>
      <w:tcPr>
        <w:shd w:val="clear" w:color="D8E2F2" w:fill="D8E2F2"/>
      </w:tcPr>
    </w:tblStylePr>
    <w:tblStylePr w:type="band1Horz">
      <w:rPr>
        <w:rFonts w:ascii="等线" w:hAnsi="等线"/>
        <w:color w:val="404040"/>
        <w:sz w:val="22"/>
      </w:rPr>
    </w:tblStylePr>
    <w:tblStylePr w:type="band2Horz">
      <w:rPr>
        <w:rFonts w:ascii="等线" w:hAnsi="等线"/>
        <w:color w:val="404040"/>
        <w:sz w:val="22"/>
      </w:rPr>
      <w:tcPr>
        <w:shd w:val="clear" w:color="D8E2F2" w:fill="D8E2F2"/>
      </w:tcPr>
    </w:tblStylePr>
  </w:style>
  <w:style w:type="table" w:customStyle="1" w:styleId="243">
    <w:name w:val="Lined - Accent 6"/>
    <w:basedOn w:val="55"/>
    <w:qFormat/>
    <w:uiPriority w:val="99"/>
    <w:rPr>
      <w:color w:val="404040"/>
    </w:rPr>
    <w:tblStylePr w:type="firstRow">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tblStylePr w:type="firstCol">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band1Vert">
      <w:rPr>
        <w:rFonts w:ascii="等线" w:hAnsi="等线"/>
        <w:color w:val="404040"/>
        <w:sz w:val="22"/>
      </w:rPr>
    </w:tblStylePr>
    <w:tblStylePr w:type="band2Vert">
      <w:rPr>
        <w:rFonts w:ascii="等线" w:hAnsi="等线"/>
        <w:color w:val="404040"/>
        <w:sz w:val="22"/>
      </w:rPr>
      <w:tcPr>
        <w:shd w:val="clear" w:color="E1EFD8" w:fill="E1EFD8"/>
      </w:tcPr>
    </w:tblStylePr>
    <w:tblStylePr w:type="band1Horz">
      <w:rPr>
        <w:rFonts w:ascii="等线" w:hAnsi="等线"/>
        <w:color w:val="404040"/>
        <w:sz w:val="22"/>
      </w:rPr>
    </w:tblStylePr>
    <w:tblStylePr w:type="band2Horz">
      <w:rPr>
        <w:rFonts w:ascii="等线" w:hAnsi="等线"/>
        <w:color w:val="404040"/>
        <w:sz w:val="22"/>
      </w:rPr>
      <w:tcPr>
        <w:shd w:val="clear" w:color="E1EFD8" w:fill="E1EFD8"/>
      </w:tcPr>
    </w:tblStylePr>
  </w:style>
  <w:style w:type="table" w:customStyle="1" w:styleId="244">
    <w:name w:val="Bordered &amp; Lined - Accent"/>
    <w:basedOn w:val="5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tblStylePr w:type="firstCol">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band1Vert">
      <w:rPr>
        <w:rFonts w:ascii="等线" w:hAnsi="等线"/>
        <w:color w:val="404040"/>
        <w:sz w:val="22"/>
      </w:rPr>
    </w:tblStylePr>
    <w:tblStylePr w:type="band2Vert">
      <w:rPr>
        <w:rFonts w:ascii="等线" w:hAnsi="等线"/>
        <w:color w:val="404040"/>
        <w:sz w:val="22"/>
      </w:rPr>
      <w:tcPr>
        <w:shd w:val="clear" w:color="F1F1F1" w:fill="F1F1F1"/>
      </w:tcPr>
    </w:tblStylePr>
    <w:tblStylePr w:type="band1Horz">
      <w:rPr>
        <w:rFonts w:ascii="等线" w:hAnsi="等线"/>
        <w:color w:val="404040"/>
        <w:sz w:val="22"/>
      </w:rPr>
    </w:tblStylePr>
    <w:tblStylePr w:type="band2Horz">
      <w:rPr>
        <w:rFonts w:ascii="等线" w:hAnsi="等线"/>
        <w:color w:val="404040"/>
        <w:sz w:val="22"/>
      </w:rPr>
      <w:tcPr>
        <w:shd w:val="clear" w:color="F1F1F1" w:fill="F1F1F1"/>
      </w:tcPr>
    </w:tblStylePr>
  </w:style>
  <w:style w:type="table" w:customStyle="1" w:styleId="245">
    <w:name w:val="Bordered &amp; Lined - Accent 1"/>
    <w:basedOn w:val="5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tblStylePr w:type="firstCol">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band1Vert">
      <w:rPr>
        <w:rFonts w:ascii="等线" w:hAnsi="等线"/>
        <w:color w:val="404040"/>
        <w:sz w:val="22"/>
      </w:rPr>
    </w:tblStylePr>
    <w:tblStylePr w:type="band2Vert">
      <w:rPr>
        <w:rFonts w:ascii="等线" w:hAnsi="等线"/>
        <w:color w:val="404040"/>
        <w:sz w:val="22"/>
      </w:rPr>
      <w:tcPr>
        <w:shd w:val="clear" w:color="CBDFF1" w:fill="CBDFF1"/>
      </w:tcPr>
    </w:tblStylePr>
    <w:tblStylePr w:type="band1Horz">
      <w:rPr>
        <w:rFonts w:ascii="等线" w:hAnsi="等线"/>
        <w:color w:val="404040"/>
        <w:sz w:val="22"/>
      </w:rPr>
    </w:tblStylePr>
    <w:tblStylePr w:type="band2Horz">
      <w:rPr>
        <w:rFonts w:ascii="等线" w:hAnsi="等线"/>
        <w:color w:val="404040"/>
        <w:sz w:val="22"/>
      </w:rPr>
      <w:tcPr>
        <w:shd w:val="clear" w:color="CBDFF1" w:fill="CBDFF1"/>
      </w:tcPr>
    </w:tblStylePr>
  </w:style>
  <w:style w:type="table" w:customStyle="1" w:styleId="246">
    <w:name w:val="Bordered &amp; Lined - Accent 2"/>
    <w:basedOn w:val="5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tblStylePr w:type="firstCol">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band1Vert">
      <w:rPr>
        <w:rFonts w:ascii="等线" w:hAnsi="等线"/>
        <w:color w:val="404040"/>
        <w:sz w:val="22"/>
      </w:rPr>
    </w:tblStylePr>
    <w:tblStylePr w:type="band2Vert">
      <w:rPr>
        <w:rFonts w:ascii="等线" w:hAnsi="等线"/>
        <w:color w:val="404040"/>
        <w:sz w:val="22"/>
      </w:rPr>
      <w:tcPr>
        <w:shd w:val="clear" w:color="FBE5D6" w:fill="FBE5D6"/>
      </w:tcPr>
    </w:tblStylePr>
    <w:tblStylePr w:type="band1Horz">
      <w:rPr>
        <w:rFonts w:ascii="等线" w:hAnsi="等线"/>
        <w:color w:val="404040"/>
        <w:sz w:val="22"/>
      </w:rPr>
    </w:tblStylePr>
    <w:tblStylePr w:type="band2Horz">
      <w:rPr>
        <w:rFonts w:ascii="等线" w:hAnsi="等线"/>
        <w:color w:val="404040"/>
        <w:sz w:val="22"/>
      </w:rPr>
      <w:tcPr>
        <w:shd w:val="clear" w:color="FBE5D6" w:fill="FBE5D6"/>
      </w:tcPr>
    </w:tblStylePr>
  </w:style>
  <w:style w:type="table" w:customStyle="1" w:styleId="247">
    <w:name w:val="Bordered &amp; Lined - Accent 3"/>
    <w:basedOn w:val="5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tblStylePr w:type="firstCol">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band1Vert">
      <w:rPr>
        <w:rFonts w:ascii="等线" w:hAnsi="等线"/>
        <w:color w:val="404040"/>
        <w:sz w:val="22"/>
      </w:rPr>
    </w:tblStylePr>
    <w:tblStylePr w:type="band2Vert">
      <w:rPr>
        <w:rFonts w:ascii="等线" w:hAnsi="等线"/>
        <w:color w:val="404040"/>
        <w:sz w:val="22"/>
      </w:rPr>
      <w:tcPr>
        <w:shd w:val="clear" w:color="ECECEC" w:fill="ECECEC"/>
      </w:tcPr>
    </w:tblStylePr>
    <w:tblStylePr w:type="band1Horz">
      <w:rPr>
        <w:rFonts w:ascii="等线" w:hAnsi="等线"/>
        <w:color w:val="404040"/>
        <w:sz w:val="22"/>
      </w:rPr>
    </w:tblStylePr>
    <w:tblStylePr w:type="band2Horz">
      <w:rPr>
        <w:rFonts w:ascii="等线" w:hAnsi="等线"/>
        <w:color w:val="404040"/>
        <w:sz w:val="22"/>
      </w:rPr>
      <w:tcPr>
        <w:shd w:val="clear" w:color="ECECEC" w:fill="ECECEC"/>
      </w:tcPr>
    </w:tblStylePr>
  </w:style>
  <w:style w:type="table" w:customStyle="1" w:styleId="248">
    <w:name w:val="Bordered &amp; Lined - Accent 4"/>
    <w:basedOn w:val="5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tblStylePr w:type="firstCol">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band1Vert">
      <w:rPr>
        <w:rFonts w:ascii="等线" w:hAnsi="等线"/>
        <w:color w:val="404040"/>
        <w:sz w:val="22"/>
      </w:rPr>
    </w:tblStylePr>
    <w:tblStylePr w:type="band2Vert">
      <w:rPr>
        <w:rFonts w:ascii="等线" w:hAnsi="等线"/>
        <w:color w:val="404040"/>
        <w:sz w:val="22"/>
      </w:rPr>
      <w:tcPr>
        <w:shd w:val="clear" w:color="FEF2CA" w:fill="FEF2CA"/>
      </w:tcPr>
    </w:tblStylePr>
    <w:tblStylePr w:type="band1Horz">
      <w:rPr>
        <w:rFonts w:ascii="等线" w:hAnsi="等线"/>
        <w:color w:val="404040"/>
        <w:sz w:val="22"/>
      </w:rPr>
    </w:tblStylePr>
    <w:tblStylePr w:type="band2Horz">
      <w:rPr>
        <w:rFonts w:ascii="等线" w:hAnsi="等线"/>
        <w:color w:val="404040"/>
        <w:sz w:val="22"/>
      </w:rPr>
      <w:tcPr>
        <w:shd w:val="clear" w:color="FEF2CA" w:fill="FEF2CA"/>
      </w:tcPr>
    </w:tblStylePr>
  </w:style>
  <w:style w:type="table" w:customStyle="1" w:styleId="249">
    <w:name w:val="Bordered &amp; Lined - Accent 5"/>
    <w:basedOn w:val="5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tblStylePr w:type="firstCol">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band1Vert">
      <w:rPr>
        <w:rFonts w:ascii="等线" w:hAnsi="等线"/>
        <w:color w:val="404040"/>
        <w:sz w:val="22"/>
      </w:rPr>
    </w:tblStylePr>
    <w:tblStylePr w:type="band2Vert">
      <w:rPr>
        <w:rFonts w:ascii="等线" w:hAnsi="等线"/>
        <w:color w:val="404040"/>
        <w:sz w:val="22"/>
      </w:rPr>
      <w:tcPr>
        <w:shd w:val="clear" w:color="D8E2F2" w:fill="D8E2F2"/>
      </w:tcPr>
    </w:tblStylePr>
    <w:tblStylePr w:type="band1Horz">
      <w:rPr>
        <w:rFonts w:ascii="等线" w:hAnsi="等线"/>
        <w:color w:val="404040"/>
        <w:sz w:val="22"/>
      </w:rPr>
    </w:tblStylePr>
    <w:tblStylePr w:type="band2Horz">
      <w:rPr>
        <w:rFonts w:ascii="等线" w:hAnsi="等线"/>
        <w:color w:val="404040"/>
        <w:sz w:val="22"/>
      </w:rPr>
      <w:tcPr>
        <w:shd w:val="clear" w:color="D8E2F2" w:fill="D8E2F2"/>
      </w:tcPr>
    </w:tblStylePr>
  </w:style>
  <w:style w:type="table" w:customStyle="1" w:styleId="250">
    <w:name w:val="Bordered &amp; Lined - Accent 6"/>
    <w:basedOn w:val="5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tblStylePr w:type="firstCol">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band1Vert">
      <w:rPr>
        <w:rFonts w:ascii="等线" w:hAnsi="等线"/>
        <w:color w:val="404040"/>
        <w:sz w:val="22"/>
      </w:rPr>
    </w:tblStylePr>
    <w:tblStylePr w:type="band2Vert">
      <w:rPr>
        <w:rFonts w:ascii="等线" w:hAnsi="等线"/>
        <w:color w:val="404040"/>
        <w:sz w:val="22"/>
      </w:rPr>
      <w:tcPr>
        <w:shd w:val="clear" w:color="E1EFD8" w:fill="E1EFD8"/>
      </w:tcPr>
    </w:tblStylePr>
    <w:tblStylePr w:type="band1Horz">
      <w:rPr>
        <w:rFonts w:ascii="等线" w:hAnsi="等线"/>
        <w:color w:val="404040"/>
        <w:sz w:val="22"/>
      </w:rPr>
    </w:tblStylePr>
    <w:tblStylePr w:type="band2Horz">
      <w:rPr>
        <w:rFonts w:ascii="等线" w:hAnsi="等线"/>
        <w:color w:val="404040"/>
        <w:sz w:val="22"/>
      </w:rPr>
      <w:tcPr>
        <w:shd w:val="clear" w:color="E1EFD8" w:fill="E1EFD8"/>
      </w:tcPr>
    </w:tblStylePr>
  </w:style>
  <w:style w:type="table" w:customStyle="1" w:styleId="251">
    <w:name w:val="Bordered"/>
    <w:basedOn w:val="5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等线" w:hAnsi="等线"/>
        <w:color w:val="404040"/>
        <w:sz w:val="22"/>
      </w:rPr>
      <w:tcPr>
        <w:tcBorders>
          <w:top w:val="nil"/>
          <w:left w:val="nil"/>
          <w:bottom w:val="single" w:color="7E7E7E" w:sz="12" w:space="0"/>
          <w:right w:val="nil"/>
          <w:insideH w:val="nil"/>
          <w:insideV w:val="nil"/>
          <w:tl2br w:val="nil"/>
          <w:tr2bl w:val="nil"/>
        </w:tcBorders>
      </w:tcPr>
    </w:tblStylePr>
    <w:tblStylePr w:type="lastRow">
      <w:rPr>
        <w:rFonts w:ascii="等线" w:hAnsi="等线"/>
        <w:color w:val="404040"/>
        <w:sz w:val="22"/>
      </w:rPr>
      <w:tcPr>
        <w:tcBorders>
          <w:top w:val="single" w:color="7E7E7E"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7E7E7E" w:sz="12" w:space="0"/>
          <w:bottom w:val="nil"/>
          <w:right w:val="nil"/>
          <w:insideH w:val="nil"/>
          <w:insideV w:val="nil"/>
          <w:tl2br w:val="nil"/>
          <w:tr2bl w:val="nil"/>
        </w:tcBorders>
      </w:tcPr>
    </w:tblStylePr>
    <w:tblStylePr w:type="band1Horz">
      <w:rPr>
        <w:rFonts w:ascii="等线" w:hAnsi="等线"/>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52">
    <w:name w:val="Bordered - Accent 1"/>
    <w:basedOn w:val="5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等线" w:hAnsi="等线"/>
        <w:color w:val="404040"/>
        <w:sz w:val="22"/>
      </w:rPr>
      <w:tcPr>
        <w:tcBorders>
          <w:top w:val="nil"/>
          <w:left w:val="nil"/>
          <w:bottom w:val="single" w:color="5B9BD5" w:sz="12" w:space="0"/>
          <w:right w:val="nil"/>
          <w:insideH w:val="nil"/>
          <w:insideV w:val="nil"/>
          <w:tl2br w:val="nil"/>
          <w:tr2bl w:val="nil"/>
        </w:tcBorders>
      </w:tcPr>
    </w:tblStylePr>
    <w:tblStylePr w:type="lastRow">
      <w:rPr>
        <w:rFonts w:ascii="等线" w:hAnsi="等线"/>
        <w:color w:val="404040"/>
        <w:sz w:val="22"/>
      </w:rPr>
      <w:tcPr>
        <w:tcBorders>
          <w:top w:val="single" w:color="5B9BD5"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5B9BD5" w:sz="12" w:space="0"/>
          <w:bottom w:val="nil"/>
          <w:right w:val="nil"/>
          <w:insideH w:val="nil"/>
          <w:insideV w:val="nil"/>
          <w:tl2br w:val="nil"/>
          <w:tr2bl w:val="nil"/>
        </w:tcBorders>
      </w:tcPr>
    </w:tblStyle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53">
    <w:name w:val="Bordered - Accent 2"/>
    <w:basedOn w:val="5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等线" w:hAnsi="等线"/>
        <w:color w:val="404040"/>
        <w:sz w:val="22"/>
      </w:rPr>
      <w:tcPr>
        <w:tcBorders>
          <w:top w:val="nil"/>
          <w:left w:val="nil"/>
          <w:bottom w:val="single" w:color="F4B285" w:sz="12" w:space="0"/>
          <w:right w:val="nil"/>
          <w:insideH w:val="nil"/>
          <w:insideV w:val="nil"/>
          <w:tl2br w:val="nil"/>
          <w:tr2bl w:val="nil"/>
        </w:tcBorders>
      </w:tcPr>
    </w:tblStylePr>
    <w:tblStylePr w:type="lastRow">
      <w:rPr>
        <w:rFonts w:ascii="等线" w:hAnsi="等线"/>
        <w:color w:val="404040"/>
        <w:sz w:val="22"/>
      </w:rPr>
      <w:tcPr>
        <w:tcBorders>
          <w:top w:val="single" w:color="F4B285"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F4B285" w:sz="12" w:space="0"/>
          <w:bottom w:val="nil"/>
          <w:right w:val="nil"/>
          <w:insideH w:val="nil"/>
          <w:insideV w:val="nil"/>
          <w:tl2br w:val="nil"/>
          <w:tr2bl w:val="nil"/>
        </w:tcBorders>
      </w:tcPr>
    </w:tblStyle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54">
    <w:name w:val="Bordered - Accent 3"/>
    <w:basedOn w:val="5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等线" w:hAnsi="等线"/>
        <w:color w:val="404040"/>
        <w:sz w:val="22"/>
      </w:rPr>
      <w:tcPr>
        <w:tcBorders>
          <w:top w:val="nil"/>
          <w:left w:val="nil"/>
          <w:bottom w:val="single" w:color="C9C9C9" w:sz="12" w:space="0"/>
          <w:right w:val="nil"/>
          <w:insideH w:val="nil"/>
          <w:insideV w:val="nil"/>
          <w:tl2br w:val="nil"/>
          <w:tr2bl w:val="nil"/>
        </w:tcBorders>
      </w:tcPr>
    </w:tblStylePr>
    <w:tblStylePr w:type="lastRow">
      <w:rPr>
        <w:rFonts w:ascii="等线" w:hAnsi="等线"/>
        <w:color w:val="404040"/>
        <w:sz w:val="22"/>
      </w:rPr>
      <w:tcPr>
        <w:tcBorders>
          <w:top w:val="single" w:color="C9C9C9"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C9C9C9" w:sz="12" w:space="0"/>
          <w:bottom w:val="nil"/>
          <w:right w:val="nil"/>
          <w:insideH w:val="nil"/>
          <w:insideV w:val="nil"/>
          <w:tl2br w:val="nil"/>
          <w:tr2bl w:val="nil"/>
        </w:tcBorders>
      </w:tcPr>
    </w:tblStyle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55">
    <w:name w:val="Bordered - Accent 4"/>
    <w:basedOn w:val="5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等线" w:hAnsi="等线"/>
        <w:color w:val="404040"/>
        <w:sz w:val="22"/>
      </w:rPr>
      <w:tcPr>
        <w:tcBorders>
          <w:top w:val="nil"/>
          <w:left w:val="nil"/>
          <w:bottom w:val="single" w:color="FFD864" w:sz="12" w:space="0"/>
          <w:right w:val="nil"/>
          <w:insideH w:val="nil"/>
          <w:insideV w:val="nil"/>
          <w:tl2br w:val="nil"/>
          <w:tr2bl w:val="nil"/>
        </w:tcBorders>
      </w:tcPr>
    </w:tblStylePr>
    <w:tblStylePr w:type="lastRow">
      <w:rPr>
        <w:rFonts w:ascii="等线" w:hAnsi="等线"/>
        <w:color w:val="404040"/>
        <w:sz w:val="22"/>
      </w:rPr>
      <w:tcPr>
        <w:tcBorders>
          <w:top w:val="single" w:color="FFD864"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FFD864" w:sz="12" w:space="0"/>
          <w:bottom w:val="nil"/>
          <w:right w:val="nil"/>
          <w:insideH w:val="nil"/>
          <w:insideV w:val="nil"/>
          <w:tl2br w:val="nil"/>
          <w:tr2bl w:val="nil"/>
        </w:tcBorders>
      </w:tcPr>
    </w:tblStyle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56">
    <w:name w:val="Bordered - Accent 5"/>
    <w:basedOn w:val="5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等线" w:hAnsi="等线"/>
        <w:color w:val="404040"/>
        <w:sz w:val="22"/>
      </w:rPr>
      <w:tcPr>
        <w:tcBorders>
          <w:top w:val="nil"/>
          <w:left w:val="nil"/>
          <w:bottom w:val="single" w:color="8EA9DB" w:sz="12" w:space="0"/>
          <w:right w:val="nil"/>
          <w:insideH w:val="nil"/>
          <w:insideV w:val="nil"/>
          <w:tl2br w:val="nil"/>
          <w:tr2bl w:val="nil"/>
        </w:tcBorders>
      </w:tcPr>
    </w:tblStylePr>
    <w:tblStylePr w:type="lastRow">
      <w:rPr>
        <w:rFonts w:ascii="等线" w:hAnsi="等线"/>
        <w:color w:val="404040"/>
        <w:sz w:val="22"/>
      </w:rPr>
      <w:tcPr>
        <w:tcBorders>
          <w:top w:val="single" w:color="8EA9DB"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8EA9DB" w:sz="12" w:space="0"/>
          <w:bottom w:val="nil"/>
          <w:right w:val="nil"/>
          <w:insideH w:val="nil"/>
          <w:insideV w:val="nil"/>
          <w:tl2br w:val="nil"/>
          <w:tr2bl w:val="nil"/>
        </w:tcBorders>
      </w:tcPr>
    </w:tblStyle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57">
    <w:name w:val="Bordered - Accent 6"/>
    <w:basedOn w:val="5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等线" w:hAnsi="等线"/>
        <w:color w:val="404040"/>
        <w:sz w:val="22"/>
      </w:rPr>
      <w:tcPr>
        <w:tcBorders>
          <w:top w:val="nil"/>
          <w:left w:val="nil"/>
          <w:bottom w:val="single" w:color="A9D08E" w:sz="12" w:space="0"/>
          <w:right w:val="nil"/>
          <w:insideH w:val="nil"/>
          <w:insideV w:val="nil"/>
          <w:tl2br w:val="nil"/>
          <w:tr2bl w:val="nil"/>
        </w:tcBorders>
      </w:tcPr>
    </w:tblStylePr>
    <w:tblStylePr w:type="lastRow">
      <w:rPr>
        <w:rFonts w:ascii="等线" w:hAnsi="等线"/>
        <w:color w:val="404040"/>
        <w:sz w:val="22"/>
      </w:rPr>
      <w:tcPr>
        <w:tcBorders>
          <w:top w:val="single" w:color="A9D08E" w:sz="12" w:space="0"/>
          <w:left w:val="nil"/>
          <w:bottom w:val="nil"/>
          <w:right w:val="nil"/>
          <w:insideH w:val="nil"/>
          <w:insideV w:val="nil"/>
          <w:tl2br w:val="nil"/>
          <w:tr2bl w:val="nil"/>
        </w:tcBorders>
      </w:tcPr>
    </w:tblStylePr>
    <w:tblStylePr w:type="firstCol">
      <w:rPr>
        <w:rFonts w:ascii="等线" w:hAnsi="等线"/>
        <w:color w:val="404040"/>
        <w:sz w:val="22"/>
      </w:rPr>
    </w:tblStylePr>
    <w:tblStylePr w:type="lastCol">
      <w:rPr>
        <w:rFonts w:ascii="等线" w:hAnsi="等线"/>
        <w:color w:val="404040"/>
        <w:sz w:val="22"/>
      </w:rPr>
      <w:tcPr>
        <w:tcBorders>
          <w:top w:val="nil"/>
          <w:left w:val="single" w:color="A9D08E" w:sz="12" w:space="0"/>
          <w:bottom w:val="nil"/>
          <w:right w:val="nil"/>
          <w:insideH w:val="nil"/>
          <w:insideV w:val="nil"/>
          <w:tl2br w:val="nil"/>
          <w:tr2bl w:val="nil"/>
        </w:tcBorders>
      </w:tcPr>
    </w:tblStyle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58">
    <w:name w:val="TOC 标题11"/>
    <w:unhideWhenUsed/>
    <w:qFormat/>
    <w:uiPriority w:val="39"/>
    <w:rPr>
      <w:rFonts w:ascii="Times New Roman" w:hAnsi="Times New Roman" w:eastAsia="宋体" w:cs="Times New Roman"/>
      <w:lang w:val="en-US" w:eastAsia="zh-CN" w:bidi="ar-SA"/>
    </w:rPr>
  </w:style>
  <w:style w:type="paragraph" w:customStyle="1" w:styleId="259">
    <w:name w:val="Normal_0"/>
    <w:qFormat/>
    <w:uiPriority w:val="0"/>
    <w:rPr>
      <w:rFonts w:ascii="黑体" w:hAnsi="黑体" w:eastAsia="黑体" w:cs="Times New Roman"/>
      <w:b/>
      <w:sz w:val="32"/>
      <w:szCs w:val="24"/>
      <w:lang w:val="en-US" w:eastAsia="zh-CN" w:bidi="ar-SA"/>
    </w:rPr>
  </w:style>
  <w:style w:type="paragraph" w:customStyle="1" w:styleId="260">
    <w:name w:val="正文11"/>
    <w:qFormat/>
    <w:uiPriority w:val="0"/>
    <w:rPr>
      <w:rFonts w:ascii="Times New Roman" w:hAnsi="Times New Roman" w:eastAsia="Times New Roman" w:cs="Times New Roman"/>
      <w:sz w:val="24"/>
      <w:szCs w:val="24"/>
      <w:lang w:val="en-US" w:eastAsia="zh-CN" w:bidi="ar-SA"/>
    </w:rPr>
  </w:style>
  <w:style w:type="paragraph" w:customStyle="1" w:styleId="261">
    <w:name w:val="Normal_0_3"/>
    <w:qFormat/>
    <w:uiPriority w:val="0"/>
    <w:rPr>
      <w:rFonts w:ascii="黑体" w:hAnsi="黑体" w:eastAsia="黑体" w:cs="黑体"/>
      <w:b/>
      <w:sz w:val="32"/>
      <w:szCs w:val="24"/>
      <w:lang w:val="en-US" w:eastAsia="zh-CN" w:bidi="ar-SA"/>
    </w:rPr>
  </w:style>
  <w:style w:type="paragraph" w:customStyle="1" w:styleId="262">
    <w:name w:val="正文首行缩进 2_0"/>
    <w:basedOn w:val="263"/>
    <w:qFormat/>
    <w:uiPriority w:val="0"/>
    <w:pPr>
      <w:spacing w:after="120"/>
      <w:ind w:left="200" w:firstLine="200"/>
    </w:pPr>
    <w:rPr>
      <w:rFonts w:ascii="Times New Roman" w:hAnsi="Times New Roman"/>
      <w:sz w:val="24"/>
      <w:szCs w:val="24"/>
    </w:rPr>
  </w:style>
  <w:style w:type="paragraph" w:customStyle="1" w:styleId="263">
    <w:name w:val="正文文本缩进_0"/>
    <w:basedOn w:val="264"/>
    <w:qFormat/>
    <w:uiPriority w:val="0"/>
    <w:pPr>
      <w:ind w:firstLine="225"/>
    </w:pPr>
    <w:rPr>
      <w:rFonts w:ascii="仿宋_GB2312" w:eastAsia="仿宋_GB2312"/>
      <w:sz w:val="32"/>
    </w:rPr>
  </w:style>
  <w:style w:type="paragraph" w:customStyle="1" w:styleId="264">
    <w:name w:val="正文_2"/>
    <w:next w:val="265"/>
    <w:qFormat/>
    <w:uiPriority w:val="0"/>
    <w:pPr>
      <w:widowControl w:val="0"/>
      <w:jc w:val="both"/>
    </w:pPr>
    <w:rPr>
      <w:rFonts w:ascii="Calibri" w:hAnsi="Calibri" w:eastAsia="宋体" w:cs="Times New Roman"/>
      <w:sz w:val="21"/>
      <w:szCs w:val="22"/>
      <w:lang w:val="en-US" w:eastAsia="zh-CN" w:bidi="ar-SA"/>
    </w:rPr>
  </w:style>
  <w:style w:type="paragraph" w:customStyle="1" w:styleId="265">
    <w:name w:val="正文文本_0"/>
    <w:basedOn w:val="264"/>
    <w:next w:val="264"/>
    <w:qFormat/>
    <w:uiPriority w:val="0"/>
    <w:pPr>
      <w:spacing w:line="60" w:lineRule="auto"/>
    </w:pPr>
    <w:rPr>
      <w:rFonts w:ascii="仿宋_GB2312" w:eastAsia="仿宋_GB2312"/>
      <w:sz w:val="32"/>
    </w:rPr>
  </w:style>
  <w:style w:type="paragraph" w:customStyle="1" w:styleId="266">
    <w:name w:val="Normal_0_2"/>
    <w:next w:val="267"/>
    <w:qFormat/>
    <w:uiPriority w:val="0"/>
    <w:rPr>
      <w:rFonts w:ascii="黑体" w:hAnsi="黑体" w:eastAsia="黑体" w:cs="黑体"/>
      <w:b/>
      <w:sz w:val="32"/>
      <w:szCs w:val="24"/>
      <w:lang w:val="en-US" w:eastAsia="zh-CN" w:bidi="ar-SA"/>
    </w:rPr>
  </w:style>
  <w:style w:type="paragraph" w:customStyle="1" w:styleId="267">
    <w:name w:val="Body Text First Indent_1"/>
    <w:basedOn w:val="8"/>
    <w:unhideWhenUsed/>
    <w:qFormat/>
    <w:uiPriority w:val="99"/>
    <w:pPr>
      <w:spacing w:after="120"/>
      <w:ind w:firstLine="420" w:firstLineChars="100"/>
    </w:pPr>
    <w:rPr>
      <w:rFonts w:eastAsia="Times New Roman"/>
    </w:rPr>
  </w:style>
  <w:style w:type="paragraph" w:customStyle="1" w:styleId="268">
    <w:name w:val="Normal_1_2"/>
    <w:qFormat/>
    <w:uiPriority w:val="0"/>
    <w:rPr>
      <w:rFonts w:ascii="Times New Roman" w:hAnsi="Times New Roman" w:eastAsia="Times New Roman" w:cs="Times New Roman"/>
      <w:sz w:val="24"/>
      <w:szCs w:val="24"/>
      <w:lang w:val="en-US" w:eastAsia="zh-CN" w:bidi="ar-SA"/>
    </w:rPr>
  </w:style>
  <w:style w:type="paragraph" w:customStyle="1" w:styleId="269">
    <w:name w:val="Normal_0_1"/>
    <w:next w:val="270"/>
    <w:qFormat/>
    <w:uiPriority w:val="0"/>
    <w:rPr>
      <w:rFonts w:ascii="黑体" w:hAnsi="黑体" w:eastAsia="黑体" w:cs="黑体"/>
      <w:b/>
      <w:sz w:val="32"/>
      <w:szCs w:val="24"/>
      <w:lang w:val="en-US" w:eastAsia="zh-CN" w:bidi="ar-SA"/>
    </w:rPr>
  </w:style>
  <w:style w:type="paragraph" w:customStyle="1" w:styleId="270">
    <w:name w:val="Body Text First Indent_0"/>
    <w:basedOn w:val="271"/>
    <w:unhideWhenUsed/>
    <w:qFormat/>
    <w:uiPriority w:val="99"/>
    <w:pPr>
      <w:spacing w:after="120"/>
      <w:ind w:firstLine="420" w:firstLineChars="100"/>
    </w:pPr>
  </w:style>
  <w:style w:type="paragraph" w:customStyle="1" w:styleId="271">
    <w:name w:val="正文3"/>
    <w:next w:val="272"/>
    <w:qFormat/>
    <w:uiPriority w:val="0"/>
    <w:rPr>
      <w:rFonts w:ascii="Times New Roman" w:hAnsi="Times New Roman" w:eastAsia="Times New Roman" w:cs="Times New Roman"/>
      <w:sz w:val="24"/>
      <w:szCs w:val="24"/>
      <w:lang w:val="en-US" w:eastAsia="zh-CN" w:bidi="ar-SA"/>
    </w:rPr>
  </w:style>
  <w:style w:type="paragraph" w:customStyle="1" w:styleId="272">
    <w:name w:val="正文首行缩进3"/>
    <w:basedOn w:val="260"/>
    <w:unhideWhenUsed/>
    <w:qFormat/>
    <w:uiPriority w:val="99"/>
    <w:pPr>
      <w:spacing w:after="120"/>
      <w:ind w:firstLine="420" w:firstLineChars="100"/>
    </w:pPr>
    <w:rPr>
      <w:sz w:val="20"/>
    </w:rPr>
  </w:style>
  <w:style w:type="paragraph" w:customStyle="1" w:styleId="273">
    <w:name w:val="Normal_1_1"/>
    <w:qFormat/>
    <w:uiPriority w:val="0"/>
    <w:rPr>
      <w:rFonts w:ascii="黑体" w:hAnsi="黑体" w:eastAsia="黑体" w:cs="黑体"/>
      <w:b/>
      <w:sz w:val="32"/>
      <w:szCs w:val="24"/>
      <w:lang w:val="en-US" w:eastAsia="zh-CN" w:bidi="ar-SA"/>
    </w:rPr>
  </w:style>
  <w:style w:type="paragraph" w:customStyle="1" w:styleId="274">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275">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276">
    <w:name w:val="Normal_2_0"/>
    <w:qFormat/>
    <w:uiPriority w:val="0"/>
    <w:rPr>
      <w:rFonts w:ascii="黑体" w:hAnsi="黑体" w:eastAsia="黑体" w:cs="黑体"/>
      <w:b/>
      <w:sz w:val="32"/>
      <w:szCs w:val="24"/>
      <w:lang w:val="en-US" w:eastAsia="zh-CN" w:bidi="ar-SA"/>
    </w:rPr>
  </w:style>
  <w:style w:type="paragraph" w:customStyle="1" w:styleId="277">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278">
    <w:name w:val="Normal_4_0"/>
    <w:qFormat/>
    <w:uiPriority w:val="0"/>
    <w:rPr>
      <w:rFonts w:ascii="黑体" w:hAnsi="黑体" w:eastAsia="黑体" w:cs="黑体"/>
      <w:b/>
      <w:sz w:val="32"/>
      <w:szCs w:val="24"/>
      <w:lang w:val="en-US" w:eastAsia="zh-CN" w:bidi="ar-SA"/>
    </w:rPr>
  </w:style>
  <w:style w:type="paragraph" w:customStyle="1" w:styleId="279">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280">
    <w:name w:val="Normal_6_0"/>
    <w:qFormat/>
    <w:uiPriority w:val="0"/>
    <w:rPr>
      <w:rFonts w:ascii="黑体" w:hAnsi="黑体" w:eastAsia="黑体" w:cs="黑体"/>
      <w:b/>
      <w:sz w:val="32"/>
      <w:szCs w:val="24"/>
      <w:lang w:val="en-US" w:eastAsia="zh-CN" w:bidi="ar-SA"/>
    </w:rPr>
  </w:style>
  <w:style w:type="paragraph" w:customStyle="1" w:styleId="281">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282">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3">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284">
    <w:name w:val="Normal_7_0"/>
    <w:qFormat/>
    <w:uiPriority w:val="0"/>
    <w:rPr>
      <w:rFonts w:ascii="黑体" w:hAnsi="黑体" w:eastAsia="黑体" w:cs="黑体"/>
      <w:b/>
      <w:sz w:val="32"/>
      <w:szCs w:val="24"/>
      <w:lang w:val="en-US" w:eastAsia="zh-CN" w:bidi="ar-SA"/>
    </w:rPr>
  </w:style>
  <w:style w:type="paragraph" w:customStyle="1" w:styleId="285">
    <w:name w:val="Normal_8_0"/>
    <w:qFormat/>
    <w:uiPriority w:val="0"/>
    <w:rPr>
      <w:rFonts w:ascii="Times New Roman" w:hAnsi="Times New Roman" w:eastAsia="Times New Roman" w:cs="Times New Roman"/>
      <w:sz w:val="24"/>
      <w:szCs w:val="24"/>
      <w:lang w:val="en-US" w:eastAsia="zh-CN" w:bidi="ar-SA"/>
    </w:rPr>
  </w:style>
  <w:style w:type="paragraph" w:customStyle="1" w:styleId="286">
    <w:name w:val="Normal_9_0"/>
    <w:qFormat/>
    <w:uiPriority w:val="0"/>
    <w:rPr>
      <w:rFonts w:ascii="Times New Roman" w:hAnsi="Times New Roman" w:eastAsia="Times New Roman" w:cs="Times New Roman"/>
      <w:sz w:val="24"/>
      <w:szCs w:val="24"/>
      <w:lang w:val="en-US" w:eastAsia="zh-CN" w:bidi="ar-SA"/>
    </w:rPr>
  </w:style>
  <w:style w:type="paragraph" w:customStyle="1" w:styleId="287">
    <w:name w:val="Normal_10_0"/>
    <w:qFormat/>
    <w:uiPriority w:val="0"/>
    <w:rPr>
      <w:rFonts w:ascii="黑体" w:hAnsi="黑体" w:eastAsia="黑体" w:cs="黑体"/>
      <w:b/>
      <w:sz w:val="32"/>
      <w:szCs w:val="24"/>
      <w:lang w:val="en-US" w:eastAsia="zh-CN" w:bidi="ar-SA"/>
    </w:rPr>
  </w:style>
  <w:style w:type="paragraph" w:customStyle="1" w:styleId="288">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289">
    <w:name w:val="正文首行缩进 2_1"/>
    <w:basedOn w:val="290"/>
    <w:next w:val="292"/>
    <w:qFormat/>
    <w:uiPriority w:val="0"/>
    <w:pPr>
      <w:spacing w:after="120"/>
      <w:ind w:left="200" w:firstLine="200"/>
    </w:pPr>
    <w:rPr>
      <w:rFonts w:ascii="Times New Roman"/>
      <w:szCs w:val="24"/>
    </w:rPr>
  </w:style>
  <w:style w:type="paragraph" w:customStyle="1" w:styleId="290">
    <w:name w:val="正文文本缩进_1"/>
    <w:basedOn w:val="291"/>
    <w:next w:val="289"/>
    <w:qFormat/>
    <w:uiPriority w:val="0"/>
    <w:pPr>
      <w:ind w:firstLine="225"/>
    </w:pPr>
    <w:rPr>
      <w:rFonts w:ascii="仿宋_GB2312" w:eastAsia="仿宋_GB2312"/>
      <w:sz w:val="32"/>
    </w:rPr>
  </w:style>
  <w:style w:type="paragraph" w:customStyle="1" w:styleId="291">
    <w:name w:val="正文_18"/>
    <w:next w:val="290"/>
    <w:qFormat/>
    <w:uiPriority w:val="0"/>
    <w:pPr>
      <w:widowControl w:val="0"/>
      <w:jc w:val="both"/>
    </w:pPr>
    <w:rPr>
      <w:rFonts w:ascii="Calibri" w:hAnsi="Calibri" w:eastAsia="宋体" w:cs="Times New Roman"/>
      <w:sz w:val="21"/>
      <w:szCs w:val="22"/>
      <w:lang w:val="en-US" w:eastAsia="zh-CN" w:bidi="ar-SA"/>
    </w:rPr>
  </w:style>
  <w:style w:type="paragraph" w:customStyle="1" w:styleId="292">
    <w:name w:val="xl53_0"/>
    <w:next w:val="288"/>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293">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294">
    <w:name w:val="Normal_11_0"/>
    <w:qFormat/>
    <w:uiPriority w:val="0"/>
    <w:rPr>
      <w:rFonts w:ascii="黑体" w:hAnsi="黑体" w:eastAsia="黑体" w:cs="黑体"/>
      <w:b/>
      <w:sz w:val="32"/>
      <w:szCs w:val="24"/>
      <w:lang w:val="en-US" w:eastAsia="zh-CN" w:bidi="ar-SA"/>
    </w:rPr>
  </w:style>
  <w:style w:type="paragraph" w:customStyle="1" w:styleId="295">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296">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297">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298">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299">
    <w:name w:val="列出段落_2"/>
    <w:basedOn w:val="297"/>
    <w:qFormat/>
    <w:uiPriority w:val="34"/>
    <w:pPr>
      <w:ind w:firstLine="420"/>
    </w:pPr>
  </w:style>
  <w:style w:type="paragraph" w:customStyle="1" w:styleId="300">
    <w:name w:val="Normal_13_0"/>
    <w:qFormat/>
    <w:uiPriority w:val="0"/>
    <w:rPr>
      <w:rFonts w:ascii="黑体" w:hAnsi="黑体" w:eastAsia="黑体" w:cs="黑体"/>
      <w:b/>
      <w:sz w:val="32"/>
      <w:szCs w:val="24"/>
      <w:lang w:val="en-US" w:eastAsia="zh-CN" w:bidi="ar-SA"/>
    </w:rPr>
  </w:style>
  <w:style w:type="paragraph" w:customStyle="1" w:styleId="301">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02">
    <w:name w:val="纯文本_0_0"/>
    <w:basedOn w:val="301"/>
    <w:unhideWhenUsed/>
    <w:qFormat/>
    <w:uiPriority w:val="0"/>
    <w:rPr>
      <w:rFonts w:ascii="宋体" w:hAnsi="Courier New"/>
      <w:szCs w:val="21"/>
    </w:rPr>
  </w:style>
  <w:style w:type="paragraph" w:customStyle="1" w:styleId="303">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04">
    <w:name w:val="Normal_14_0"/>
    <w:qFormat/>
    <w:uiPriority w:val="0"/>
    <w:rPr>
      <w:rFonts w:ascii="黑体" w:hAnsi="黑体" w:eastAsia="黑体" w:cs="黑体"/>
      <w:b/>
      <w:sz w:val="32"/>
      <w:szCs w:val="24"/>
      <w:lang w:val="en-US" w:eastAsia="zh-CN" w:bidi="ar-SA"/>
    </w:rPr>
  </w:style>
  <w:style w:type="paragraph" w:customStyle="1" w:styleId="305">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06">
    <w:name w:val="Normal_15_0"/>
    <w:qFormat/>
    <w:uiPriority w:val="0"/>
    <w:rPr>
      <w:rFonts w:ascii="黑体" w:hAnsi="黑体" w:eastAsia="黑体" w:cs="黑体"/>
      <w:b/>
      <w:sz w:val="32"/>
      <w:szCs w:val="24"/>
      <w:lang w:val="en-US" w:eastAsia="zh-CN" w:bidi="ar-SA"/>
    </w:rPr>
  </w:style>
  <w:style w:type="paragraph" w:customStyle="1" w:styleId="307">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08">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9">
    <w:name w:val="Normal_16_0"/>
    <w:qFormat/>
    <w:uiPriority w:val="0"/>
    <w:rPr>
      <w:rFonts w:ascii="黑体" w:hAnsi="黑体" w:eastAsia="黑体" w:cs="黑体"/>
      <w:b/>
      <w:sz w:val="32"/>
      <w:szCs w:val="24"/>
      <w:lang w:val="en-US" w:eastAsia="zh-CN" w:bidi="ar-SA"/>
    </w:rPr>
  </w:style>
  <w:style w:type="paragraph" w:customStyle="1" w:styleId="310">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1">
    <w:name w:val="Normal_17_0"/>
    <w:qFormat/>
    <w:uiPriority w:val="0"/>
    <w:rPr>
      <w:rFonts w:ascii="黑体" w:hAnsi="黑体" w:eastAsia="黑体" w:cs="黑体"/>
      <w:b/>
      <w:sz w:val="32"/>
      <w:szCs w:val="24"/>
      <w:lang w:val="en-US" w:eastAsia="zh-CN" w:bidi="ar-SA"/>
    </w:rPr>
  </w:style>
  <w:style w:type="paragraph" w:customStyle="1" w:styleId="312">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3">
    <w:name w:val="Normal_18_0"/>
    <w:qFormat/>
    <w:uiPriority w:val="0"/>
    <w:rPr>
      <w:rFonts w:ascii="黑体" w:hAnsi="黑体" w:eastAsia="黑体" w:cs="黑体"/>
      <w:b/>
      <w:sz w:val="32"/>
      <w:szCs w:val="24"/>
      <w:lang w:val="en-US" w:eastAsia="zh-CN" w:bidi="ar-SA"/>
    </w:rPr>
  </w:style>
  <w:style w:type="paragraph" w:customStyle="1" w:styleId="314">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15">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6">
    <w:name w:val="Normal_14_0_0"/>
    <w:qFormat/>
    <w:uiPriority w:val="0"/>
    <w:rPr>
      <w:rFonts w:ascii="黑体" w:hAnsi="黑体" w:eastAsia="黑体" w:cs="Times New Roman"/>
      <w:b/>
      <w:sz w:val="32"/>
      <w:szCs w:val="24"/>
      <w:lang w:val="en-US" w:eastAsia="zh-CN" w:bidi="ar-SA"/>
    </w:rPr>
  </w:style>
  <w:style w:type="paragraph" w:customStyle="1" w:styleId="317">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8">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9">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1">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22">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3">
    <w:name w:val="Normal Indent_0"/>
    <w:basedOn w:val="100"/>
    <w:qFormat/>
    <w:uiPriority w:val="0"/>
    <w:pPr>
      <w:ind w:firstLine="420"/>
    </w:pPr>
    <w:rPr>
      <w:rFonts w:ascii="宋体" w:eastAsia="Times New Roman"/>
      <w:color w:val="000000"/>
      <w:sz w:val="24"/>
      <w:szCs w:val="20"/>
    </w:rPr>
  </w:style>
  <w:style w:type="paragraph" w:customStyle="1" w:styleId="324">
    <w:name w:val="Heading 3_0"/>
    <w:basedOn w:val="100"/>
    <w:next w:val="100"/>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25">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26">
    <w:name w:val="正文2"/>
    <w:basedOn w:val="1"/>
    <w:qFormat/>
    <w:uiPriority w:val="0"/>
    <w:pPr>
      <w:spacing w:before="156" w:line="360" w:lineRule="auto"/>
      <w:ind w:firstLine="510"/>
    </w:pPr>
    <w:rPr>
      <w:sz w:val="24"/>
      <w:szCs w:val="20"/>
    </w:rPr>
  </w:style>
  <w:style w:type="paragraph" w:customStyle="1" w:styleId="327">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28">
    <w:name w:val="Normal_19_1_0"/>
    <w:next w:val="329"/>
    <w:qFormat/>
    <w:uiPriority w:val="0"/>
    <w:pPr>
      <w:widowControl w:val="0"/>
      <w:jc w:val="both"/>
    </w:pPr>
    <w:rPr>
      <w:rFonts w:ascii="Calibri" w:hAnsi="Calibri" w:eastAsia="宋体" w:cs="Times New Roman"/>
      <w:szCs w:val="24"/>
      <w:lang w:val="en-US" w:eastAsia="zh-CN" w:bidi="ar-SA"/>
    </w:rPr>
  </w:style>
  <w:style w:type="paragraph" w:customStyle="1" w:styleId="329">
    <w:name w:val="正文_16_0"/>
    <w:basedOn w:val="291"/>
    <w:next w:val="289"/>
    <w:qFormat/>
    <w:uiPriority w:val="0"/>
    <w:rPr>
      <w:rFonts w:ascii="Times New Roman" w:hAnsi="Times New Roman"/>
    </w:rPr>
  </w:style>
  <w:style w:type="paragraph" w:customStyle="1" w:styleId="330">
    <w:name w:val="Normal_19_0"/>
    <w:basedOn w:val="6"/>
    <w:next w:val="331"/>
    <w:qFormat/>
    <w:uiPriority w:val="0"/>
    <w:rPr>
      <w:szCs w:val="24"/>
    </w:rPr>
  </w:style>
  <w:style w:type="paragraph" w:customStyle="1" w:styleId="331">
    <w:name w:val="Body Text First Indent_1_0"/>
    <w:basedOn w:val="330"/>
    <w:qFormat/>
    <w:uiPriority w:val="0"/>
    <w:pPr>
      <w:spacing w:after="120"/>
      <w:ind w:firstLine="100" w:firstLineChars="100"/>
    </w:pPr>
  </w:style>
  <w:style w:type="paragraph" w:customStyle="1" w:styleId="332">
    <w:name w:val="Body Text_0"/>
    <w:basedOn w:val="330"/>
    <w:qFormat/>
    <w:uiPriority w:val="0"/>
    <w:pPr>
      <w:spacing w:line="60" w:lineRule="auto"/>
    </w:pPr>
    <w:rPr>
      <w:rFonts w:ascii="仿宋_GB2312" w:eastAsia="仿宋_GB2312"/>
      <w:sz w:val="32"/>
    </w:rPr>
  </w:style>
  <w:style w:type="paragraph" w:customStyle="1" w:styleId="333">
    <w:name w:val="Normal_19_1"/>
    <w:next w:val="100"/>
    <w:qFormat/>
    <w:uiPriority w:val="0"/>
    <w:pPr>
      <w:widowControl w:val="0"/>
      <w:jc w:val="both"/>
    </w:pPr>
    <w:rPr>
      <w:rFonts w:ascii="Calibri" w:hAnsi="Calibri" w:eastAsia="宋体" w:cs="Times New Roman"/>
      <w:szCs w:val="24"/>
      <w:lang w:val="en-US" w:eastAsia="zh-CN" w:bidi="ar-SA"/>
    </w:rPr>
  </w:style>
  <w:style w:type="paragraph" w:customStyle="1" w:styleId="334">
    <w:name w:val="正文_6_0_0"/>
    <w:qFormat/>
    <w:uiPriority w:val="0"/>
    <w:pPr>
      <w:widowControl w:val="0"/>
      <w:jc w:val="both"/>
    </w:pPr>
    <w:rPr>
      <w:rFonts w:ascii="Calibri" w:hAnsi="Calibri" w:eastAsia="宋体" w:cs="Times New Roman"/>
      <w:lang w:val="en-US" w:eastAsia="zh-CN" w:bidi="ar-SA"/>
    </w:rPr>
  </w:style>
  <w:style w:type="paragraph" w:customStyle="1" w:styleId="335">
    <w:name w:val="正文_7_1"/>
    <w:qFormat/>
    <w:uiPriority w:val="0"/>
    <w:pPr>
      <w:widowControl w:val="0"/>
      <w:jc w:val="both"/>
    </w:pPr>
    <w:rPr>
      <w:rFonts w:ascii="Calibri" w:hAnsi="Calibri" w:eastAsia="宋体" w:cs="Times New Roman"/>
      <w:lang w:val="en-US" w:eastAsia="zh-CN" w:bidi="ar-SA"/>
    </w:rPr>
  </w:style>
  <w:style w:type="paragraph" w:customStyle="1" w:styleId="336">
    <w:name w:val="正文1_1"/>
    <w:basedOn w:val="285"/>
    <w:qFormat/>
    <w:uiPriority w:val="0"/>
    <w:pPr>
      <w:widowControl w:val="0"/>
      <w:jc w:val="both"/>
    </w:pPr>
    <w:rPr>
      <w:sz w:val="20"/>
      <w:szCs w:val="20"/>
    </w:rPr>
  </w:style>
  <w:style w:type="paragraph" w:customStyle="1" w:styleId="337">
    <w:name w:val="Normal_8_0_0"/>
    <w:qFormat/>
    <w:uiPriority w:val="0"/>
    <w:rPr>
      <w:rFonts w:ascii="Times New Roman" w:hAnsi="Times New Roman" w:eastAsia="Times New Roman" w:cs="Times New Roman"/>
      <w:sz w:val="24"/>
      <w:szCs w:val="24"/>
      <w:lang w:val="en-US" w:eastAsia="zh-CN" w:bidi="ar-SA"/>
    </w:rPr>
  </w:style>
  <w:style w:type="paragraph" w:customStyle="1" w:styleId="338">
    <w:name w:val="Normal_8_0_0_0"/>
    <w:qFormat/>
    <w:uiPriority w:val="0"/>
    <w:pPr>
      <w:widowControl w:val="0"/>
      <w:jc w:val="both"/>
    </w:pPr>
    <w:rPr>
      <w:rFonts w:ascii="Calibri" w:hAnsi="Calibri" w:eastAsia="宋体" w:cs="Times New Roman"/>
      <w:lang w:val="en-US" w:eastAsia="zh-CN" w:bidi="ar-SA"/>
    </w:rPr>
  </w:style>
  <w:style w:type="paragraph" w:customStyle="1" w:styleId="339">
    <w:name w:val="Normal_16_1"/>
    <w:qFormat/>
    <w:uiPriority w:val="0"/>
    <w:rPr>
      <w:rFonts w:ascii="黑体" w:hAnsi="黑体" w:eastAsia="黑体" w:cs="Times New Roman"/>
      <w:b/>
      <w:sz w:val="32"/>
      <w:szCs w:val="24"/>
      <w:lang w:val="en-US" w:eastAsia="zh-CN" w:bidi="ar-SA"/>
    </w:rPr>
  </w:style>
  <w:style w:type="paragraph" w:customStyle="1" w:styleId="340">
    <w:name w:val="Normal_19_0_1"/>
    <w:qFormat/>
    <w:uiPriority w:val="0"/>
    <w:rPr>
      <w:rFonts w:ascii="Tahoma" w:hAnsi="Tahoma" w:eastAsia="微软雅黑" w:cs="Times New Roman"/>
      <w:lang w:val="en-US" w:eastAsia="zh-CN" w:bidi="ar-SA"/>
    </w:rPr>
  </w:style>
  <w:style w:type="paragraph" w:customStyle="1" w:styleId="341">
    <w:name w:val="Normal_16_0_0"/>
    <w:qFormat/>
    <w:uiPriority w:val="0"/>
    <w:pPr>
      <w:widowControl w:val="0"/>
      <w:jc w:val="both"/>
    </w:pPr>
    <w:rPr>
      <w:rFonts w:ascii="Calibri" w:hAnsi="Calibri" w:eastAsia="宋体" w:cs="Times New Roman"/>
      <w:lang w:val="en-US" w:eastAsia="zh-CN" w:bidi="ar-SA"/>
    </w:rPr>
  </w:style>
  <w:style w:type="paragraph" w:customStyle="1" w:styleId="342">
    <w:name w:val="Normal_22_0"/>
    <w:qFormat/>
    <w:uiPriority w:val="0"/>
    <w:pPr>
      <w:widowControl w:val="0"/>
      <w:jc w:val="both"/>
    </w:pPr>
    <w:rPr>
      <w:rFonts w:ascii="Calibri" w:hAnsi="Calibri" w:eastAsia="宋体" w:cs="Times New Roman"/>
      <w:szCs w:val="24"/>
      <w:lang w:val="en-US" w:eastAsia="zh-CN" w:bidi="ar-SA"/>
    </w:rPr>
  </w:style>
  <w:style w:type="paragraph" w:customStyle="1" w:styleId="343">
    <w:name w:val="Normal_17_0_0"/>
    <w:qFormat/>
    <w:uiPriority w:val="0"/>
    <w:rPr>
      <w:rFonts w:ascii="黑体" w:hAnsi="黑体" w:eastAsia="黑体" w:cs="Times New Roman"/>
      <w:b/>
      <w:sz w:val="32"/>
      <w:szCs w:val="24"/>
      <w:lang w:val="en-US" w:eastAsia="zh-CN" w:bidi="ar-SA"/>
    </w:rPr>
  </w:style>
  <w:style w:type="paragraph" w:customStyle="1" w:styleId="344">
    <w:name w:val="Normal_19_0_1_0"/>
    <w:qFormat/>
    <w:uiPriority w:val="0"/>
    <w:rPr>
      <w:rFonts w:ascii="Tahoma" w:hAnsi="Tahoma" w:eastAsia="微软雅黑" w:cs="Times New Roman"/>
      <w:lang w:val="en-US" w:eastAsia="zh-CN" w:bidi="ar-SA"/>
    </w:rPr>
  </w:style>
  <w:style w:type="paragraph" w:customStyle="1" w:styleId="345">
    <w:name w:val="Normal_19_3"/>
    <w:next w:val="346"/>
    <w:qFormat/>
    <w:uiPriority w:val="0"/>
    <w:pPr>
      <w:widowControl w:val="0"/>
      <w:jc w:val="both"/>
    </w:pPr>
    <w:rPr>
      <w:rFonts w:ascii="Calibri" w:hAnsi="Calibri" w:eastAsia="Times New Roman" w:cs="Times New Roman"/>
      <w:szCs w:val="24"/>
      <w:lang w:val="en-US" w:eastAsia="zh-CN" w:bidi="ar-SA"/>
    </w:rPr>
  </w:style>
  <w:style w:type="paragraph" w:customStyle="1" w:styleId="346">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347">
    <w:name w:val="Normal_22_0_0"/>
    <w:qFormat/>
    <w:uiPriority w:val="0"/>
    <w:pPr>
      <w:widowControl w:val="0"/>
      <w:jc w:val="both"/>
    </w:pPr>
    <w:rPr>
      <w:rFonts w:ascii="Calibri" w:hAnsi="Calibri" w:eastAsia="宋体" w:cs="Times New Roman"/>
      <w:szCs w:val="24"/>
      <w:lang w:val="en-US" w:eastAsia="zh-CN" w:bidi="ar-SA"/>
    </w:rPr>
  </w:style>
  <w:style w:type="character" w:customStyle="1" w:styleId="348">
    <w:name w:val="custom-tag-placeholder-class"/>
    <w:qFormat/>
    <w:uiPriority w:val="0"/>
  </w:style>
  <w:style w:type="paragraph" w:customStyle="1" w:styleId="349">
    <w:name w:val="Normal_19_0_0"/>
    <w:basedOn w:val="100"/>
    <w:next w:val="350"/>
    <w:qFormat/>
    <w:uiPriority w:val="0"/>
    <w:rPr>
      <w:rFonts w:ascii="Calibri" w:hAnsi="Calibri" w:eastAsia="Times New Roman"/>
      <w:sz w:val="24"/>
    </w:rPr>
  </w:style>
  <w:style w:type="paragraph" w:customStyle="1" w:styleId="350">
    <w:name w:val="Body Text First Indent_1_0_0"/>
    <w:basedOn w:val="349"/>
    <w:qFormat/>
    <w:uiPriority w:val="0"/>
    <w:pPr>
      <w:spacing w:after="120"/>
      <w:ind w:firstLine="100" w:firstLineChars="100"/>
    </w:pPr>
  </w:style>
  <w:style w:type="paragraph" w:customStyle="1" w:styleId="351">
    <w:name w:val="正文首行缩进1"/>
    <w:basedOn w:val="352"/>
    <w:qFormat/>
    <w:uiPriority w:val="0"/>
    <w:pPr>
      <w:spacing w:after="120" w:line="240" w:lineRule="auto"/>
      <w:ind w:firstLine="100"/>
    </w:pPr>
    <w:rPr>
      <w:rFonts w:ascii="Times New Roman" w:hAnsi="Times New Roman" w:eastAsia="宋体"/>
      <w:sz w:val="21"/>
    </w:rPr>
  </w:style>
  <w:style w:type="paragraph" w:customStyle="1" w:styleId="352">
    <w:name w:val="正文文本1"/>
    <w:basedOn w:val="1"/>
    <w:qFormat/>
    <w:uiPriority w:val="0"/>
    <w:pPr>
      <w:spacing w:line="60" w:lineRule="auto"/>
    </w:pPr>
    <w:rPr>
      <w:rFonts w:ascii="仿宋_GB2312" w:eastAsia="仿宋_GB2312"/>
      <w:sz w:val="32"/>
    </w:rPr>
  </w:style>
  <w:style w:type="paragraph" w:customStyle="1" w:styleId="353">
    <w:name w:val="正文_2_0"/>
    <w:next w:val="262"/>
    <w:qFormat/>
    <w:uiPriority w:val="0"/>
    <w:pPr>
      <w:widowControl w:val="0"/>
      <w:jc w:val="both"/>
    </w:pPr>
    <w:rPr>
      <w:rFonts w:ascii="Calibri" w:hAnsi="Calibri" w:eastAsia="宋体" w:cs="Times New Roman"/>
      <w:sz w:val="21"/>
      <w:szCs w:val="22"/>
      <w:lang w:val="en-US" w:eastAsia="zh-CN" w:bidi="ar-SA"/>
    </w:rPr>
  </w:style>
  <w:style w:type="paragraph" w:customStyle="1" w:styleId="354">
    <w:name w:val="List Paragraph_0"/>
    <w:basedOn w:val="264"/>
    <w:qFormat/>
    <w:uiPriority w:val="0"/>
    <w:pPr>
      <w:ind w:firstLine="420"/>
    </w:pPr>
  </w:style>
  <w:style w:type="paragraph" w:customStyle="1" w:styleId="355">
    <w:name w:val="纯文本_1"/>
    <w:basedOn w:val="353"/>
    <w:qFormat/>
    <w:uiPriority w:val="0"/>
    <w:rPr>
      <w:rFonts w:ascii="宋体" w:hAnsi="Times New Roman"/>
      <w:sz w:val="20"/>
      <w:szCs w:val="21"/>
    </w:rPr>
  </w:style>
  <w:style w:type="paragraph" w:customStyle="1" w:styleId="356">
    <w:name w:val="正文_16_0_0"/>
    <w:next w:val="126"/>
    <w:qFormat/>
    <w:uiPriority w:val="0"/>
    <w:pPr>
      <w:widowControl w:val="0"/>
      <w:jc w:val="both"/>
    </w:pPr>
    <w:rPr>
      <w:rFonts w:ascii="Calibri" w:hAnsi="Calibri" w:eastAsia="宋体" w:cs="Times New Roman"/>
      <w:sz w:val="21"/>
      <w:szCs w:val="22"/>
      <w:lang w:val="en-US" w:eastAsia="zh-CN" w:bidi="ar-SA"/>
    </w:rPr>
  </w:style>
  <w:style w:type="paragraph" w:customStyle="1" w:styleId="357">
    <w:name w:val="正文_11_0"/>
    <w:basedOn w:val="126"/>
    <w:qFormat/>
    <w:uiPriority w:val="0"/>
    <w:rPr>
      <w:rFonts w:ascii="Calibri" w:hAnsi="Calibri"/>
      <w:szCs w:val="20"/>
    </w:rPr>
  </w:style>
  <w:style w:type="paragraph" w:customStyle="1" w:styleId="358">
    <w:name w:val="Normal_19_0_0_0"/>
    <w:basedOn w:val="6"/>
    <w:qFormat/>
    <w:uiPriority w:val="0"/>
    <w:rPr>
      <w:rFonts w:cs="黑体"/>
      <w:szCs w:val="24"/>
    </w:rPr>
  </w:style>
  <w:style w:type="paragraph" w:customStyle="1" w:styleId="359">
    <w:name w:val="无间隔1"/>
    <w:basedOn w:val="271"/>
    <w:qFormat/>
    <w:uiPriority w:val="0"/>
    <w:rPr>
      <w:rFonts w:ascii="Calibri" w:hAnsi="Calibri" w:cs="Calibri"/>
    </w:rPr>
  </w:style>
  <w:style w:type="paragraph" w:customStyle="1" w:styleId="360">
    <w:name w:val="标题 31"/>
    <w:basedOn w:val="271"/>
    <w:next w:val="271"/>
    <w:qFormat/>
    <w:uiPriority w:val="0"/>
    <w:pPr>
      <w:keepNext/>
      <w:keepLines/>
      <w:spacing w:before="260" w:after="260" w:line="413" w:lineRule="auto"/>
      <w:outlineLvl w:val="2"/>
    </w:pPr>
    <w:rPr>
      <w:b/>
      <w:sz w:val="32"/>
      <w:szCs w:val="20"/>
    </w:rPr>
  </w:style>
  <w:style w:type="character" w:customStyle="1" w:styleId="361">
    <w:name w:val="标题 2 Char_0"/>
    <w:link w:val="362"/>
    <w:qFormat/>
    <w:uiPriority w:val="0"/>
    <w:rPr>
      <w:rFonts w:ascii="Arial" w:hAnsi="Arial" w:eastAsia="黑体"/>
      <w:b/>
      <w:sz w:val="32"/>
      <w:szCs w:val="22"/>
    </w:rPr>
  </w:style>
  <w:style w:type="paragraph" w:customStyle="1" w:styleId="362">
    <w:name w:val="标题 21"/>
    <w:basedOn w:val="7"/>
    <w:next w:val="7"/>
    <w:link w:val="361"/>
    <w:unhideWhenUsed/>
    <w:qFormat/>
    <w:uiPriority w:val="0"/>
    <w:pPr>
      <w:keepNext/>
      <w:keepLines/>
      <w:spacing w:before="260" w:after="260" w:line="413" w:lineRule="auto"/>
      <w:outlineLvl w:val="1"/>
    </w:pPr>
    <w:rPr>
      <w:rFonts w:ascii="Arial" w:hAnsi="Arial"/>
      <w:szCs w:val="22"/>
    </w:rPr>
  </w:style>
  <w:style w:type="paragraph" w:customStyle="1" w:styleId="363">
    <w:name w:val="Normal_19_1_0_0"/>
    <w:next w:val="364"/>
    <w:qFormat/>
    <w:uiPriority w:val="0"/>
    <w:pPr>
      <w:widowControl w:val="0"/>
      <w:jc w:val="both"/>
    </w:pPr>
    <w:rPr>
      <w:rFonts w:ascii="Calibri" w:hAnsi="Calibri" w:eastAsia="宋体" w:cs="Times New Roman"/>
      <w:sz w:val="21"/>
      <w:szCs w:val="24"/>
      <w:lang w:val="en-US" w:eastAsia="zh-CN" w:bidi="ar-SA"/>
    </w:rPr>
  </w:style>
  <w:style w:type="paragraph" w:customStyle="1" w:styleId="364">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5">
    <w:name w:val="正文1_0_0"/>
    <w:basedOn w:val="7"/>
    <w:qFormat/>
    <w:uiPriority w:val="0"/>
    <w:pPr>
      <w:spacing w:line="360" w:lineRule="auto"/>
      <w:ind w:left="357" w:firstLine="420"/>
    </w:pPr>
    <w:rPr>
      <w:rFonts w:eastAsia="Times New Roman" w:cs="Arial"/>
    </w:rPr>
  </w:style>
  <w:style w:type="paragraph" w:customStyle="1" w:styleId="36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7">
    <w:name w:val="正文空2字"/>
    <w:basedOn w:val="368"/>
    <w:qFormat/>
    <w:uiPriority w:val="99"/>
    <w:pPr>
      <w:widowControl w:val="0"/>
      <w:spacing w:line="560" w:lineRule="exact"/>
      <w:ind w:firstLine="640"/>
    </w:pPr>
    <w:rPr>
      <w:rFonts w:ascii="仿宋_GB2312" w:hAnsi="仿宋_GB2312" w:cs="仿宋_GB2312"/>
      <w:lang w:val="zh-TW"/>
    </w:rPr>
  </w:style>
  <w:style w:type="paragraph" w:customStyle="1" w:styleId="368">
    <w:name w:val="左对齐正文"/>
    <w:qFormat/>
    <w:uiPriority w:val="99"/>
    <w:rPr>
      <w:rFonts w:ascii="Calibri" w:hAnsi="Calibri" w:eastAsia="仿宋_GB2312" w:cs="Calibri"/>
      <w:sz w:val="32"/>
      <w:szCs w:val="32"/>
      <w:lang w:val="en-US" w:eastAsia="zh-CN" w:bidi="ar-SA"/>
    </w:rPr>
  </w:style>
  <w:style w:type="paragraph" w:customStyle="1" w:styleId="369">
    <w:name w:val="普通(网站)1"/>
    <w:basedOn w:val="1"/>
    <w:qFormat/>
    <w:uiPriority w:val="0"/>
    <w:rPr>
      <w:sz w:val="24"/>
    </w:rPr>
  </w:style>
  <w:style w:type="character" w:customStyle="1" w:styleId="370">
    <w:name w:val="16"/>
    <w:qFormat/>
    <w:uiPriority w:val="0"/>
    <w:rPr>
      <w:rFonts w:ascii="Times New Roman" w:hAnsi="Times New Roman"/>
      <w:sz w:val="21"/>
      <w:szCs w:val="21"/>
      <w:lang w:val="en-US" w:eastAsia="zh-CN" w:bidi="ar-SA"/>
    </w:rPr>
  </w:style>
  <w:style w:type="paragraph" w:customStyle="1" w:styleId="371">
    <w:name w:val="正文缩进_1"/>
    <w:basedOn w:val="264"/>
    <w:next w:val="264"/>
    <w:qFormat/>
    <w:uiPriority w:val="0"/>
    <w:pPr>
      <w:ind w:firstLine="420"/>
    </w:pPr>
    <w:rPr>
      <w:rFonts w:ascii="宋体"/>
      <w:color w:val="000000"/>
      <w:sz w:val="24"/>
      <w:szCs w:val="20"/>
    </w:rPr>
  </w:style>
  <w:style w:type="paragraph" w:customStyle="1" w:styleId="372">
    <w:name w:val="Table Paragraph"/>
    <w:basedOn w:val="100"/>
    <w:qFormat/>
    <w:uiPriority w:val="1"/>
    <w:rPr>
      <w:rFonts w:ascii="宋体" w:hAnsi="宋体" w:cs="宋体"/>
      <w:sz w:val="22"/>
      <w:lang w:val="zh-CN" w:bidi="zh-CN"/>
    </w:rPr>
  </w:style>
  <w:style w:type="paragraph" w:customStyle="1" w:styleId="373">
    <w:name w:val="Normal_19_2"/>
    <w:basedOn w:val="374"/>
    <w:qFormat/>
    <w:uiPriority w:val="0"/>
    <w:rPr>
      <w:rFonts w:ascii="Times New Roman" w:hAnsi="Times New Roman"/>
      <w:szCs w:val="21"/>
    </w:rPr>
  </w:style>
  <w:style w:type="paragraph" w:customStyle="1" w:styleId="374">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375">
    <w:name w:val="正文文本2"/>
    <w:basedOn w:val="124"/>
    <w:qFormat/>
    <w:uiPriority w:val="0"/>
    <w:pPr>
      <w:spacing w:line="60" w:lineRule="auto"/>
    </w:pPr>
    <w:rPr>
      <w:rFonts w:ascii="仿宋_GB2312" w:eastAsia="仿宋_GB2312"/>
      <w:sz w:val="32"/>
      <w:szCs w:val="22"/>
    </w:rPr>
  </w:style>
  <w:style w:type="paragraph" w:customStyle="1" w:styleId="376">
    <w:name w:val="正文1_0"/>
    <w:basedOn w:val="353"/>
    <w:qFormat/>
    <w:uiPriority w:val="0"/>
    <w:pPr>
      <w:widowControl/>
      <w:spacing w:line="360" w:lineRule="auto"/>
      <w:ind w:left="357" w:firstLine="420"/>
      <w:jc w:val="left"/>
    </w:pPr>
    <w:rPr>
      <w:rFonts w:cs="Arial"/>
      <w:szCs w:val="20"/>
    </w:rPr>
  </w:style>
  <w:style w:type="paragraph" w:customStyle="1" w:styleId="377">
    <w:name w:val="Normal_19_2_0"/>
    <w:basedOn w:val="378"/>
    <w:qFormat/>
    <w:uiPriority w:val="0"/>
    <w:rPr>
      <w:rFonts w:ascii="Times New Roman" w:hAnsi="Times New Roman"/>
      <w:szCs w:val="21"/>
    </w:rPr>
  </w:style>
  <w:style w:type="paragraph" w:customStyle="1" w:styleId="378">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379">
    <w:name w:val="正文缩进1"/>
    <w:basedOn w:val="1"/>
    <w:qFormat/>
    <w:uiPriority w:val="0"/>
    <w:pPr>
      <w:ind w:firstLine="420"/>
      <w:jc w:val="left"/>
    </w:pPr>
    <w:rPr>
      <w:rFonts w:ascii="宋体"/>
      <w:sz w:val="24"/>
    </w:rPr>
  </w:style>
  <w:style w:type="paragraph" w:customStyle="1" w:styleId="380">
    <w:name w:val="纯文本1"/>
    <w:basedOn w:val="125"/>
    <w:qFormat/>
    <w:uiPriority w:val="0"/>
    <w:rPr>
      <w:rFonts w:ascii="宋体" w:hAnsi="Courier New"/>
    </w:rPr>
  </w:style>
  <w:style w:type="paragraph" w:customStyle="1" w:styleId="381">
    <w:name w:val="Normal_21_0"/>
    <w:next w:val="38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Heading 1_0"/>
    <w:basedOn w:val="381"/>
    <w:next w:val="381"/>
    <w:qFormat/>
    <w:uiPriority w:val="0"/>
    <w:pPr>
      <w:keepNext/>
      <w:keepLines/>
      <w:spacing w:before="240" w:after="120" w:line="300" w:lineRule="auto"/>
      <w:jc w:val="center"/>
      <w:outlineLvl w:val="0"/>
    </w:pPr>
    <w:rPr>
      <w:rFonts w:ascii="宋体"/>
      <w:b/>
      <w:sz w:val="32"/>
      <w:szCs w:val="20"/>
    </w:rPr>
  </w:style>
  <w:style w:type="paragraph" w:customStyle="1" w:styleId="383">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84">
    <w:name w:val="正文文本 字符"/>
    <w:qFormat/>
    <w:uiPriority w:val="0"/>
    <w:rPr>
      <w:rFonts w:ascii="楷体_GB2312" w:hAnsi="Arial" w:eastAsia="楷体_GB2312" w:cs="Times New Roman"/>
      <w:sz w:val="28"/>
      <w:szCs w:val="28"/>
    </w:rPr>
  </w:style>
  <w:style w:type="character" w:customStyle="1" w:styleId="385">
    <w:name w:val="正文文本缩进 字符"/>
    <w:qFormat/>
    <w:uiPriority w:val="0"/>
    <w:rPr>
      <w:rFonts w:ascii="楷体_GB2312" w:hAnsi="Times New Roman" w:eastAsia="楷体_GB2312" w:cs="Times New Roman"/>
      <w:sz w:val="32"/>
      <w:szCs w:val="32"/>
    </w:rPr>
  </w:style>
  <w:style w:type="character" w:customStyle="1" w:styleId="386">
    <w:name w:val="正文文本 字符1"/>
    <w:qFormat/>
    <w:uiPriority w:val="0"/>
    <w:rPr>
      <w:rFonts w:ascii="Calibri" w:hAnsi="Calibri"/>
      <w:sz w:val="28"/>
      <w:szCs w:val="24"/>
    </w:rPr>
  </w:style>
  <w:style w:type="character" w:customStyle="1" w:styleId="387">
    <w:name w:val="正文文本首行缩进 字符"/>
    <w:qFormat/>
    <w:uiPriority w:val="0"/>
    <w:rPr>
      <w:rFonts w:ascii="仿宋_GB2312" w:hAnsi="Calibri" w:eastAsia="仿宋_GB2312"/>
      <w:sz w:val="30"/>
      <w:szCs w:val="30"/>
    </w:rPr>
  </w:style>
  <w:style w:type="paragraph" w:customStyle="1" w:styleId="388">
    <w:name w:val="索引 41"/>
    <w:basedOn w:val="1"/>
    <w:next w:val="1"/>
    <w:semiHidden/>
    <w:qFormat/>
    <w:uiPriority w:val="0"/>
    <w:pPr>
      <w:ind w:left="1260"/>
    </w:pPr>
    <w:rPr>
      <w:rFonts w:eastAsia="Calibri" w:cs="宋体"/>
      <w:sz w:val="20"/>
      <w:szCs w:val="21"/>
      <w:lang w:val="zh-CN"/>
    </w:rPr>
  </w:style>
  <w:style w:type="character" w:customStyle="1" w:styleId="389">
    <w:name w:val="font5 Char"/>
    <w:qFormat/>
    <w:uiPriority w:val="0"/>
    <w:rPr>
      <w:rFonts w:ascii="宋体" w:hAnsi="宋体" w:eastAsia="宋体"/>
      <w:sz w:val="28"/>
      <w:szCs w:val="28"/>
      <w:lang w:val="en-US" w:eastAsia="zh-CN" w:bidi="ar-SA"/>
    </w:rPr>
  </w:style>
  <w:style w:type="character" w:customStyle="1" w:styleId="390">
    <w:name w:val="二级目录 Char"/>
    <w:link w:val="391"/>
    <w:qFormat/>
    <w:uiPriority w:val="0"/>
    <w:rPr>
      <w:b/>
      <w:sz w:val="30"/>
      <w:szCs w:val="28"/>
    </w:rPr>
  </w:style>
  <w:style w:type="paragraph" w:customStyle="1" w:styleId="391">
    <w:name w:val="二级目录"/>
    <w:next w:val="1"/>
    <w:link w:val="390"/>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392">
    <w:name w:val="列出段落 Char"/>
    <w:link w:val="393"/>
    <w:qFormat/>
    <w:uiPriority w:val="0"/>
    <w:rPr>
      <w:rFonts w:ascii="Calibri" w:hAnsi="Calibri"/>
      <w:sz w:val="24"/>
      <w:szCs w:val="24"/>
      <w:lang w:eastAsia="en-US" w:bidi="en-US"/>
    </w:rPr>
  </w:style>
  <w:style w:type="paragraph" w:customStyle="1" w:styleId="393">
    <w:name w:val="列出段落1"/>
    <w:basedOn w:val="1"/>
    <w:link w:val="392"/>
    <w:qFormat/>
    <w:uiPriority w:val="0"/>
    <w:pPr>
      <w:widowControl/>
      <w:ind w:left="720"/>
      <w:contextualSpacing/>
      <w:jc w:val="left"/>
    </w:pPr>
    <w:rPr>
      <w:sz w:val="24"/>
      <w:szCs w:val="24"/>
      <w:lang w:eastAsia="en-US" w:bidi="en-US"/>
    </w:rPr>
  </w:style>
  <w:style w:type="paragraph" w:customStyle="1" w:styleId="394">
    <w:name w:val="Body Text(ch)"/>
    <w:basedOn w:val="1"/>
    <w:qFormat/>
    <w:uiPriority w:val="0"/>
    <w:pPr>
      <w:spacing w:after="120"/>
    </w:pPr>
    <w:rPr>
      <w:rFonts w:ascii="宋体" w:hAnsi="Arial"/>
      <w:bCs/>
      <w:iCs/>
      <w:szCs w:val="24"/>
    </w:rPr>
  </w:style>
  <w:style w:type="paragraph" w:customStyle="1" w:styleId="39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9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97">
    <w:name w:val="Char"/>
    <w:basedOn w:val="1"/>
    <w:qFormat/>
    <w:uiPriority w:val="0"/>
    <w:pPr>
      <w:tabs>
        <w:tab w:val="left" w:pos="360"/>
      </w:tabs>
      <w:ind w:firstLine="200"/>
    </w:pPr>
    <w:rPr>
      <w:rFonts w:ascii="Times New Roman" w:hAnsi="Times New Roman"/>
      <w:sz w:val="28"/>
      <w:szCs w:val="30"/>
    </w:rPr>
  </w:style>
  <w:style w:type="paragraph" w:customStyle="1" w:styleId="398">
    <w:name w:val="Char1"/>
    <w:basedOn w:val="20"/>
    <w:qFormat/>
    <w:uiPriority w:val="0"/>
    <w:rPr>
      <w:rFonts w:ascii="Tahoma" w:hAnsi="Tahoma"/>
      <w:sz w:val="24"/>
      <w:szCs w:val="24"/>
    </w:rPr>
  </w:style>
  <w:style w:type="paragraph" w:customStyle="1" w:styleId="399">
    <w:name w:val="table_lines"/>
    <w:basedOn w:val="1"/>
    <w:qFormat/>
    <w:uiPriority w:val="0"/>
    <w:pPr>
      <w:widowControl/>
      <w:jc w:val="left"/>
    </w:pPr>
    <w:rPr>
      <w:rFonts w:ascii="Times New Roman" w:hAnsi="Times New Roman"/>
      <w:sz w:val="20"/>
      <w:szCs w:val="20"/>
      <w:lang w:val="de-DE" w:eastAsia="de-DE"/>
    </w:rPr>
  </w:style>
  <w:style w:type="paragraph" w:customStyle="1" w:styleId="400">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0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2">
    <w:name w:val="Char Char Char Char"/>
    <w:basedOn w:val="20"/>
    <w:qFormat/>
    <w:uiPriority w:val="0"/>
    <w:pPr>
      <w:spacing w:line="360" w:lineRule="auto"/>
    </w:pPr>
    <w:rPr>
      <w:rFonts w:ascii="Tahoma" w:hAnsi="Tahoma"/>
      <w:sz w:val="24"/>
      <w:szCs w:val="24"/>
    </w:rPr>
  </w:style>
  <w:style w:type="paragraph" w:customStyle="1" w:styleId="403">
    <w:name w:val="4"/>
    <w:basedOn w:val="1"/>
    <w:next w:val="43"/>
    <w:qFormat/>
    <w:uiPriority w:val="0"/>
    <w:pPr>
      <w:spacing w:line="360" w:lineRule="auto"/>
      <w:ind w:firstLine="420"/>
    </w:pPr>
    <w:rPr>
      <w:rFonts w:ascii="Times New Roman" w:hAnsi="Times New Roman"/>
      <w:color w:val="FF0000"/>
      <w:sz w:val="24"/>
      <w:szCs w:val="24"/>
    </w:rPr>
  </w:style>
  <w:style w:type="paragraph" w:customStyle="1" w:styleId="40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05">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06">
    <w:name w:val="样式1"/>
    <w:basedOn w:val="1"/>
    <w:qFormat/>
    <w:uiPriority w:val="0"/>
    <w:pPr>
      <w:numPr>
        <w:ilvl w:val="0"/>
        <w:numId w:val="2"/>
      </w:numPr>
      <w:tabs>
        <w:tab w:val="left" w:pos="709"/>
      </w:tabs>
    </w:pPr>
    <w:rPr>
      <w:rFonts w:ascii="宋体" w:hAnsi="宋体"/>
      <w:szCs w:val="21"/>
    </w:rPr>
  </w:style>
  <w:style w:type="paragraph" w:customStyle="1" w:styleId="40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0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0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1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1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41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41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4">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41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1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17">
    <w:name w:val="Char Char Char Char1"/>
    <w:basedOn w:val="20"/>
    <w:qFormat/>
    <w:uiPriority w:val="0"/>
    <w:pPr>
      <w:spacing w:line="360" w:lineRule="auto"/>
    </w:pPr>
    <w:rPr>
      <w:rFonts w:ascii="Tahoma" w:hAnsi="Tahoma"/>
      <w:sz w:val="24"/>
      <w:szCs w:val="24"/>
    </w:rPr>
  </w:style>
  <w:style w:type="paragraph" w:customStyle="1" w:styleId="41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1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2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21">
    <w:name w:val="修订1"/>
    <w:semiHidden/>
    <w:qFormat/>
    <w:uiPriority w:val="99"/>
    <w:rPr>
      <w:rFonts w:ascii="Times New Roman" w:hAnsi="Times New Roman" w:eastAsia="宋体" w:cs="Times New Roman"/>
      <w:sz w:val="21"/>
      <w:szCs w:val="21"/>
      <w:lang w:val="en-US" w:eastAsia="zh-CN" w:bidi="ar-SA"/>
    </w:rPr>
  </w:style>
  <w:style w:type="table" w:customStyle="1" w:styleId="422">
    <w:name w:val="Table Normal"/>
    <w:qFormat/>
    <w:uiPriority w:val="0"/>
    <w:tblPr>
      <w:tblCellMar>
        <w:top w:w="0" w:type="dxa"/>
        <w:left w:w="0" w:type="dxa"/>
        <w:bottom w:w="0" w:type="dxa"/>
        <w:right w:w="0" w:type="dxa"/>
      </w:tblCellMar>
    </w:tblPr>
  </w:style>
  <w:style w:type="paragraph" w:customStyle="1" w:styleId="423">
    <w:name w:val="正文文本12"/>
    <w:basedOn w:val="1"/>
    <w:qFormat/>
    <w:uiPriority w:val="1"/>
    <w:pPr>
      <w:ind w:left="120"/>
    </w:pPr>
    <w:rPr>
      <w:rFonts w:ascii="宋体" w:hAnsi="宋体" w:cs="宋体"/>
      <w:szCs w:val="21"/>
      <w:lang w:val="zh-CN" w:bidi="zh-CN"/>
    </w:rPr>
  </w:style>
  <w:style w:type="paragraph" w:customStyle="1" w:styleId="424">
    <w:name w:val="首行缩进"/>
    <w:basedOn w:val="1"/>
    <w:qFormat/>
    <w:uiPriority w:val="0"/>
    <w:pPr>
      <w:ind w:firstLine="480"/>
    </w:pPr>
    <w:rPr>
      <w:rFonts w:ascii="Times New Roman" w:hAnsi="Times New Roman"/>
      <w:szCs w:val="21"/>
      <w:lang w:val="zh-CN"/>
    </w:rPr>
  </w:style>
  <w:style w:type="paragraph" w:customStyle="1" w:styleId="425">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26">
    <w:name w:val="15"/>
    <w:qFormat/>
    <w:uiPriority w:val="0"/>
    <w:rPr>
      <w:rFonts w:hint="default" w:ascii="Times New Roman" w:hAnsi="Times New Roman" w:cs="Times New Roman"/>
    </w:rPr>
  </w:style>
  <w:style w:type="paragraph" w:customStyle="1" w:styleId="427">
    <w:name w:val="正文文本缩进 2_0"/>
    <w:basedOn w:val="264"/>
    <w:qFormat/>
    <w:uiPriority w:val="0"/>
    <w:pPr>
      <w:spacing w:line="540" w:lineRule="exact"/>
      <w:ind w:firstLine="720"/>
      <w:jc w:val="left"/>
    </w:pPr>
    <w:rPr>
      <w:rFonts w:ascii="仿宋_GB2312" w:hAnsi="仿宋_GB2312" w:cs="宋体"/>
      <w:sz w:val="32"/>
      <w:szCs w:val="32"/>
    </w:rPr>
  </w:style>
  <w:style w:type="character" w:customStyle="1" w:styleId="428">
    <w:name w:val="10"/>
    <w:qFormat/>
    <w:uiPriority w:val="0"/>
    <w:rPr>
      <w:rFonts w:hint="default" w:ascii="Times New Roman" w:hAnsi="Times New Roman" w:cs="Times New Roman"/>
    </w:rPr>
  </w:style>
  <w:style w:type="paragraph" w:customStyle="1" w:styleId="429">
    <w:name w:val="正文_16_1"/>
    <w:basedOn w:val="1"/>
    <w:qFormat/>
    <w:uiPriority w:val="0"/>
    <w:rPr>
      <w:rFonts w:ascii="Times New Roman" w:hAnsi="Times New Roman"/>
      <w:szCs w:val="21"/>
    </w:rPr>
  </w:style>
  <w:style w:type="paragraph" w:customStyle="1" w:styleId="430">
    <w:name w:val="页脚1"/>
    <w:basedOn w:val="1"/>
    <w:qFormat/>
    <w:uiPriority w:val="0"/>
    <w:pPr>
      <w:tabs>
        <w:tab w:val="center" w:pos="4153"/>
        <w:tab w:val="right" w:pos="8306"/>
      </w:tabs>
      <w:jc w:val="left"/>
    </w:pPr>
    <w:rPr>
      <w:sz w:val="18"/>
      <w:szCs w:val="18"/>
    </w:rPr>
  </w:style>
  <w:style w:type="character" w:customStyle="1" w:styleId="431">
    <w:name w:val="页码1"/>
    <w:qFormat/>
    <w:uiPriority w:val="0"/>
  </w:style>
  <w:style w:type="paragraph" w:customStyle="1" w:styleId="432">
    <w:name w:val="*正文"/>
    <w:basedOn w:val="4"/>
    <w:qFormat/>
    <w:uiPriority w:val="0"/>
    <w:pPr>
      <w:ind w:firstLine="200"/>
    </w:pPr>
    <w:rPr>
      <w:rFonts w:hAnsi="宋体"/>
      <w:szCs w:val="24"/>
    </w:rPr>
  </w:style>
  <w:style w:type="paragraph" w:customStyle="1" w:styleId="433">
    <w:name w:val="*正文_0"/>
    <w:basedOn w:val="434"/>
    <w:qFormat/>
    <w:uiPriority w:val="0"/>
    <w:pPr>
      <w:spacing w:line="360" w:lineRule="auto"/>
      <w:ind w:firstLine="200"/>
    </w:pPr>
    <w:rPr>
      <w:rFonts w:ascii="宋体" w:hAnsi="宋体" w:eastAsia="Arial" w:cs="Arial"/>
      <w:color w:val="000000"/>
      <w:sz w:val="24"/>
    </w:rPr>
  </w:style>
  <w:style w:type="paragraph" w:customStyle="1" w:styleId="434">
    <w:name w:val="正文缩进_2"/>
    <w:basedOn w:val="288"/>
    <w:unhideWhenUsed/>
    <w:qFormat/>
    <w:uiPriority w:val="0"/>
    <w:pPr>
      <w:widowControl/>
      <w:ind w:firstLine="420"/>
      <w:jc w:val="left"/>
    </w:pPr>
    <w:rPr>
      <w:rFonts w:ascii="Times New Roman" w:hAnsi="Times New Roman"/>
      <w:sz w:val="20"/>
      <w:szCs w:val="24"/>
    </w:rPr>
  </w:style>
  <w:style w:type="paragraph" w:customStyle="1" w:styleId="435">
    <w:name w:val="*正文_0_0"/>
    <w:basedOn w:val="288"/>
    <w:qFormat/>
    <w:uiPriority w:val="0"/>
    <w:pPr>
      <w:widowControl/>
      <w:spacing w:line="360" w:lineRule="auto"/>
      <w:ind w:firstLine="200"/>
      <w:jc w:val="left"/>
    </w:pPr>
    <w:rPr>
      <w:rFonts w:ascii="宋体" w:hAnsi="宋体" w:eastAsia="Arial" w:cs="Arial"/>
      <w:color w:val="000000"/>
      <w:sz w:val="24"/>
      <w:szCs w:val="24"/>
    </w:rPr>
  </w:style>
  <w:style w:type="paragraph" w:customStyle="1" w:styleId="436">
    <w:name w:val="无间隔1_0_0"/>
    <w:basedOn w:val="288"/>
    <w:qFormat/>
    <w:uiPriority w:val="0"/>
    <w:rPr>
      <w:rFonts w:ascii="Times New Roman" w:hAnsi="Times New Roman"/>
      <w:szCs w:val="21"/>
    </w:rPr>
  </w:style>
  <w:style w:type="paragraph" w:customStyle="1" w:styleId="437">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38">
    <w:name w:val="标题 4_0"/>
    <w:basedOn w:val="439"/>
    <w:next w:val="439"/>
    <w:unhideWhenUsed/>
    <w:qFormat/>
    <w:uiPriority w:val="9"/>
    <w:pPr>
      <w:keepNext/>
      <w:keepLines/>
      <w:spacing w:before="280" w:after="290" w:line="372" w:lineRule="auto"/>
      <w:outlineLvl w:val="3"/>
    </w:pPr>
    <w:rPr>
      <w:rFonts w:ascii="Arial" w:hAnsi="Arial" w:eastAsia="黑体"/>
      <w:b/>
      <w:sz w:val="28"/>
    </w:rPr>
  </w:style>
  <w:style w:type="paragraph" w:customStyle="1" w:styleId="439">
    <w:name w:val="正文4"/>
    <w:qFormat/>
    <w:uiPriority w:val="0"/>
    <w:pPr>
      <w:widowControl w:val="0"/>
      <w:jc w:val="both"/>
    </w:pPr>
    <w:rPr>
      <w:rFonts w:ascii="Calibri" w:hAnsi="Calibri" w:eastAsia="宋体" w:cs="Times New Roman"/>
      <w:lang w:val="en-US" w:eastAsia="zh-CN" w:bidi="ar-SA"/>
    </w:rPr>
  </w:style>
  <w:style w:type="paragraph" w:customStyle="1" w:styleId="440">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41">
    <w:name w:val="p17_0_0"/>
    <w:basedOn w:val="330"/>
    <w:qFormat/>
    <w:uiPriority w:val="0"/>
    <w:pPr>
      <w:widowControl/>
      <w:spacing w:before="100" w:beforeAutospacing="1" w:after="100" w:afterAutospacing="1"/>
      <w:jc w:val="left"/>
    </w:pPr>
    <w:rPr>
      <w:rFonts w:ascii="宋体" w:hAnsi="宋体" w:eastAsia="Times New Roman" w:cs="宋体"/>
      <w:sz w:val="24"/>
    </w:rPr>
  </w:style>
  <w:style w:type="paragraph" w:customStyle="1" w:styleId="442">
    <w:name w:val="p17_0"/>
    <w:basedOn w:val="7"/>
    <w:qFormat/>
    <w:uiPriority w:val="0"/>
    <w:pPr>
      <w:spacing w:before="100" w:beforeAutospacing="1" w:after="100" w:afterAutospacing="1"/>
    </w:pPr>
    <w:rPr>
      <w:rFonts w:ascii="宋体" w:hAnsi="宋体" w:eastAsia="Times New Roman" w:cs="宋体"/>
      <w:sz w:val="24"/>
    </w:rPr>
  </w:style>
  <w:style w:type="paragraph" w:customStyle="1" w:styleId="443">
    <w:name w:val="普通(网站)11"/>
    <w:basedOn w:val="1"/>
    <w:qFormat/>
    <w:uiPriority w:val="99"/>
    <w:rPr>
      <w:sz w:val="24"/>
    </w:rPr>
  </w:style>
  <w:style w:type="paragraph" w:customStyle="1" w:styleId="44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45">
    <w:name w:val="active"/>
    <w:basedOn w:val="57"/>
    <w:qFormat/>
    <w:uiPriority w:val="0"/>
    <w:rPr>
      <w:color w:val="FFFFFF"/>
      <w:bdr w:val="single" w:color="0F5BB9" w:sz="2" w:space="0"/>
      <w:shd w:val="clear" w:color="auto" w:fill="0F5BB9"/>
    </w:rPr>
  </w:style>
  <w:style w:type="character" w:customStyle="1" w:styleId="446">
    <w:name w:val="active16"/>
    <w:basedOn w:val="57"/>
    <w:qFormat/>
    <w:uiPriority w:val="0"/>
    <w:rPr>
      <w:color w:val="FFFFFF"/>
      <w:bdr w:val="single" w:color="0F5BB9" w:sz="4" w:space="0"/>
      <w:shd w:val="clear" w:color="auto" w:fill="0F5BB9"/>
    </w:rPr>
  </w:style>
  <w:style w:type="paragraph" w:customStyle="1" w:styleId="44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48">
    <w:name w:val="正文_2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font21"/>
    <w:link w:val="1"/>
    <w:qFormat/>
    <w:uiPriority w:val="0"/>
    <w:rPr>
      <w:rFonts w:ascii="Calibri" w:hAnsi="Calibri" w:eastAsia="宋体" w:cs="Times New Roman"/>
      <w:sz w:val="21"/>
      <w:szCs w:val="22"/>
      <w:lang w:val="en-US" w:eastAsia="zh-CN" w:bidi="ar-SA"/>
    </w:rPr>
  </w:style>
  <w:style w:type="character" w:customStyle="1" w:styleId="450">
    <w:name w:val="font31"/>
    <w:link w:val="1"/>
    <w:qFormat/>
    <w:uiPriority w:val="0"/>
    <w:rPr>
      <w:rFonts w:hint="eastAsia" w:ascii="等线" w:hAnsi="等线" w:eastAsia="等线" w:cs="等线"/>
      <w:color w:val="000000"/>
      <w:sz w:val="22"/>
      <w:szCs w:val="22"/>
      <w:u w:val="none"/>
    </w:rPr>
  </w:style>
  <w:style w:type="character" w:customStyle="1" w:styleId="451">
    <w:name w:val="默认段落字体1"/>
    <w:link w:val="1"/>
    <w:unhideWhenUsed/>
    <w:qFormat/>
    <w:uiPriority w:val="1"/>
  </w:style>
  <w:style w:type="paragraph" w:customStyle="1" w:styleId="452">
    <w:name w:val="正文_1_1_1"/>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80d6c761-494f-41e2-9131-a4d07b291c14</errorID>
      <errorWord>日</errorWord>
      <group>L1_Word</group>
      <groupName>字词问题</groupName>
      <ability>L2_Typo</ability>
      <abilityName>字词错误</abilityName>
      <candidateList>
        <item>日内</item>
      </candidateList>
      <explain/>
      <paraID> C4629A7</paraID>
      <start>18</start>
      <end>19</end>
      <status>unmodified</status>
      <modifiedWord/>
      <trackRevisions>false</trackRevisions>
    </reviewItem>
    <reviewItem>
      <errorID>cdb4457f-3ce4-4878-b944-22fab3d3f596</errorID>
      <errorWord>“.</errorWord>
      <group>L1_Punc</group>
      <groupName>标点问题</groupName>
      <ability>L2_Punc</ability>
      <abilityName>标点符号检查</abilityName>
      <candidateList>
        <item>“</item>
      </candidateList>
      <explain/>
      <paraID>7AB89A45</paraID>
      <start>87</start>
      <end>89</end>
      <status>unmodified</status>
      <modifiedWord/>
      <trackRevisions>false</trackRevisions>
    </reviewItem>
    <reviewItem>
      <errorID>e738e62a-ff9e-44ba-96ec-37cea13d0bd8</errorID>
      <errorWord>法律、法规</errorWord>
      <group>L1_Word</group>
      <groupName>字词问题</groupName>
      <ability>L2_Typo</ability>
      <abilityName>字词错误</abilityName>
      <candidateList>
        <item>法律法规</item>
      </candidateList>
      <explain/>
      <paraID>34771043</paraID>
      <start>27</start>
      <end>32</end>
      <status>unmodified</status>
      <modifiedWord/>
      <trackRevisions>false</trackRevisions>
    </reviewItem>
    <reviewItem>
      <errorID>5a797b11-93aa-4ad2-a421-6fc4005b2ce2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287EACE9</paraID>
      <start>46</start>
      <end>47</end>
      <status>unmodified</status>
      <modifiedWord/>
      <trackRevisions>false</trackRevisions>
    </reviewItem>
    <reviewItem>
      <errorID>769462b1-b0c5-40c2-a2ec-87015a13ff66</errorID>
      <errorWord>过程中涉及到</errorWord>
      <group>L1_Word</group>
      <groupName>字词问题</groupName>
      <ability>L2_Typo</ability>
      <abilityName>字词错误</abilityName>
      <candidateList>
        <item>过程中涉及</item>
      </candidateList>
      <explain/>
      <paraID>70AF2AE0</paraID>
      <start>74</start>
      <end>80</end>
      <status>unmodified</status>
      <modifiedWord/>
      <trackRevisions>false</trackRevisions>
    </reviewItem>
    <reviewItem>
      <errorID>01d6f814-4819-42c9-a198-cb69643ee242</errorID>
      <errorWord>间</errorWord>
      <group>L1_Word</group>
      <groupName>字词问题</groupName>
      <ability>L2_Typo</ability>
      <abilityName>字词错误</abilityName>
      <candidateList>
        <item>间之</item>
      </candidateList>
      <explain/>
      <paraID> D9A5646</paraID>
      <start>21</start>
      <end>22</end>
      <status>unmodified</status>
      <modifiedWord/>
      <trackRevisions>false</trackRevisions>
    </reviewItem>
    <reviewItem>
      <errorID>bc6ec9e4-b720-4e35-9c24-10cf1c51b6a2</errorID>
      <errorWord>保持通讯畅通</errorWord>
      <group>L1_Word</group>
      <groupName>字词问题</groupName>
      <ability>L2_Typo</ability>
      <abilityName>字词错误</abilityName>
      <candidateList>
        <item>保持通信畅通</item>
      </candidateList>
      <explain/>
      <paraID>1FF488A7</paraID>
      <start>17</start>
      <end>23</end>
      <status>unmodified</status>
      <modifiedWord/>
      <trackRevisions>false</trackRevisions>
    </reviewItem>
    <reviewItem>
      <errorID>59c49203-06f4-40f7-b932-8b1348b9b270</errorID>
      <errorWord>&lt;</errorWord>
      <group>L1_Format</group>
      <groupName>格式问题</groupName>
      <ability>L2_HalfPunc</ability>
      <abilityName>全半角检查</abilityName>
      <candidateList>
        <item>〈</item>
      </candidateList>
      <explain>文本全半角错误。</explain>
      <paraID>54F90B77</paraID>
      <start>38</start>
      <end>39</end>
      <status>unmodified</status>
      <modifiedWord/>
      <trackRevisions>false</trackRevisions>
    </reviewItem>
    <reviewItem>
      <errorID>ab7a27fe-a60f-49e8-a043-16cd44eb47d9</errorID>
      <errorWord>&lt;</errorWord>
      <group>L1_Format</group>
      <groupName>格式问题</groupName>
      <ability>L2_HalfPunc</ability>
      <abilityName>全半角检查</abilityName>
      <candidateList>
        <item>〈</item>
      </candidateList>
      <explain>文本全半角错误。</explain>
      <paraID>6BE0E9A9</paraID>
      <start>38</start>
      <end>39</end>
      <status>unmodified</status>
      <modifiedWord/>
      <trackRevisions>false</trackRevisions>
    </reviewItem>
    <reviewItem>
      <errorID>8a289393-bc03-46f2-9dba-aa40940e63cc</errorID>
      <errorWord>&lt;</errorWord>
      <group>L1_Format</group>
      <groupName>格式问题</groupName>
      <ability>L2_HalfPunc</ability>
      <abilityName>全半角检查</abilityName>
      <candidateList>
        <item>〈</item>
      </candidateList>
      <explain>文本全半角错误。</explain>
      <paraID>65D25EBF</paraID>
      <start>27</start>
      <end>28</end>
      <status>unmodified</status>
      <modifiedWord/>
      <trackRevisions>false</trackRevisions>
    </reviewItem>
    <reviewItem>
      <errorID>628b5f33-7f44-481b-a4af-ff2e7cc65478</errorID>
      <errorWord>属</errorWord>
      <group>L1_Word</group>
      <groupName>字词问题</groupName>
      <ability>L2_Typo</ability>
      <abilityName>字词错误</abilityName>
      <candidateList>
        <item>属于</item>
      </candidateList>
      <explain/>
      <paraID>230CB5C5</paraID>
      <start>20</start>
      <end>21</end>
      <status>unmodified</status>
      <modifiedWord/>
      <trackRevisions>false</trackRevisions>
    </reviewItem>
    <reviewItem>
      <errorID>46c31d29-a2ec-4056-8491-ce1b0fcb8592</errorID>
      <errorWord>：&gt;</errorWord>
      <group>L1_Punc</group>
      <groupName>标点问题</groupName>
      <ability>L2_Punc</ability>
      <abilityName>标点符号检查</abilityName>
      <candidateList>
        <item>：</item>
      </candidateList>
      <explain/>
      <paraID>5FB7E9C9</paraID>
      <start>16</start>
      <end>17</end>
      <status>modified</status>
      <modifiedWord>：</modifiedWord>
      <trackRevisions>false</trackRevisions>
    </reviewItem>
    <reviewItem>
      <errorID>88bc2af8-3f6e-4048-b10e-3d9a03470545</errorID>
      <errorWord>（</errorWord>
      <group>L1_Word</group>
      <groupName>字词问题</groupName>
      <ability>L2_Typo</ability>
      <abilityName>字词错误</abilityName>
      <candidateList>
        <item>（在</item>
      </candidateList>
      <explain/>
      <paraID>4FF38A3C</paraID>
      <start>77</start>
      <end>78</end>
      <status>ignored</status>
      <modifiedWord/>
      <trackRevisions>false</trackRevisions>
    </reviewItem>
    <reviewItem>
      <errorID>82a5aa52-5260-4947-bd4a-e7075179a40d</errorID>
      <errorWord>（</errorWord>
      <group>L1_Word</group>
      <groupName>字词问题</groupName>
      <ability>L2_Typo</ability>
      <abilityName>字词错误</abilityName>
      <candidateList>
        <item>（在</item>
      </candidateList>
      <explain/>
      <paraID>7BFD3B2A</paraID>
      <start>149</start>
      <end>150</end>
      <status>ignored</status>
      <modifiedWord/>
      <trackRevisions>false</trackRevisions>
    </reviewItem>
    <reviewItem>
      <errorID>a6ad1c44-93b2-46c1-b021-f9e6575aab16</errorID>
      <errorWord>（</errorWord>
      <group>L1_Word</group>
      <groupName>字词问题</groupName>
      <ability>L2_Typo</ability>
      <abilityName>字词错误</abilityName>
      <candidateList>
        <item>（在</item>
      </candidateList>
      <explain/>
      <paraID>4140DCD2</paraID>
      <start>143</start>
      <end>144</end>
      <status>ignored</status>
      <modifiedWord/>
      <trackRevisions>false</trackRevisions>
    </reviewItem>
    <reviewItem>
      <errorID>8ef1a810-b00a-41b5-804b-7558ec9cc2a5</errorID>
      <errorWord>其它</errorWord>
      <group>L1_Word</group>
      <groupName>字词问题</groupName>
      <ability>L2_Alias</ability>
      <abilityName>也作/曾用词</abilityName>
      <candidateList>
        <item>其他</item>
      </candidateList>
      <explain>词汇[其它]为不规范表述或旧称，其规范书面表述为[其他]。</explain>
      <paraID>45C08B23</paraID>
      <start>44</start>
      <end>46</end>
      <status>modified</status>
      <modifiedWord>其他</modifiedWord>
      <trackRevisions>false</trackRevisions>
    </reviewItem>
    <reviewItem>
      <errorID>f3692da0-e645-4c41-b041-2460394f68b0</errorID>
      <errorWord>（</errorWord>
      <group>L1_Punc</group>
      <groupName>标点问题</groupName>
      <ability>L2_Punc</ability>
      <abilityName>标点符号检查</abilityName>
      <candidateList/>
      <explain>同一形式括号套用。</explain>
      <paraID>6CA9FE94</paraID>
      <start>147</start>
      <end>148</end>
      <status>ignored</status>
      <modifiedWord/>
      <trackRevisions>false</trackRevisions>
    </reviewItem>
    <reviewItem>
      <errorID>ee4e6009-a66e-47d2-b82d-338a71bd8da1</errorID>
      <errorWord>）</errorWord>
      <group>L1_Punc</group>
      <groupName>标点问题</groupName>
      <ability>L2_Punc</ability>
      <abilityName>标点符号检查</abilityName>
      <candidateList/>
      <explain>同一形式括号套用。</explain>
      <paraID>6CA9FE94</paraID>
      <start>159</start>
      <end>160</end>
      <status>ignored</status>
      <modifiedWord/>
      <trackRevisions>false</trackRevisions>
    </reviewItem>
    <reviewItem>
      <errorID>accc47ea-cc43-4fb6-b1c7-30841e89b81c</errorID>
      <errorWord>进</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FAA0970</paraID>
      <start>109</start>
      <end>110</end>
      <status>ignored</status>
      <modifiedWord/>
      <trackRevisions>false</trackRevisions>
    </reviewItem>
    <reviewItem>
      <errorID>2061fb47-47e3-455d-bb96-3058f0c22733</errorID>
      <errorWord>消音器</errorWord>
      <group>L1_Word</group>
      <groupName>字词问题</groupName>
      <ability>L2_Typo</ability>
      <abilityName>字词错误</abilityName>
      <candidateList>
        <item>消声器</item>
      </candidateList>
      <explain/>
      <paraID>5632F8AC</paraID>
      <start>14</start>
      <end>17</end>
      <status>ignored</status>
      <modifiedWord/>
      <trackRevisions>false</trackRevisions>
    </reviewItem>
    <reviewItem>
      <errorID>3fe9b81f-5e2e-49b6-b20b-12d6cc74e28b</errorID>
      <errorWord>噪音</errorWord>
      <group>L1_Word</group>
      <groupName>字词问题</groupName>
      <ability>L2_Alias</ability>
      <abilityName>也作/曾用词</abilityName>
      <candidateList>
        <item>噪声</item>
      </candidateList>
      <explain>词汇[噪音]为不规范表述或旧称，其规范书面表述为[噪声]。</explain>
      <paraID>5632F8AC</paraID>
      <start>40</start>
      <end>42</end>
      <status>ignored</status>
      <modifiedWord/>
      <trackRevisions>false</trackRevisions>
    </reviewItem>
    <reviewItem>
      <errorID>db04d4c4-c295-4cb7-b80d-8ce6ee8da13f</errorID>
      <errorWord>详实</errorWord>
      <group>L1_Word</group>
      <groupName>字词问题</groupName>
      <ability>L2_Typo</ability>
      <abilityName>字词错误</abilityName>
      <candidateList>
        <item>翔实</item>
      </candidateList>
      <explain/>
      <paraID>38239D4F</paraID>
      <start>50</start>
      <end>52</end>
      <status>ignored</status>
      <modifiedWord/>
      <trackRevisions>false</trackRevisions>
    </reviewItem>
    <reviewItem>
      <errorID>5033cfb2-2ccf-45f6-9fcd-bd8100fd28c9</errorID>
      <errorWord>，</errorWord>
      <group>L1_Word</group>
      <groupName>字词问题</groupName>
      <ability>L2_Typo</ability>
      <abilityName>字词错误</abilityName>
      <candidateList>
        <item>，在</item>
      </candidateList>
      <explain/>
      <paraID>584B5F00</paraID>
      <start>75</start>
      <end>76</end>
      <status>ignored</status>
      <modifiedWord/>
      <trackRevisions>false</trackRevisions>
    </reviewItem>
    <reviewItem>
      <errorID>4a43dc3d-b548-46a8-a8af-e0efb21b7c13</errorID>
      <errorWord>须</errorWord>
      <group>L1_Word</group>
      <groupName>字词问题</groupName>
      <ability>L2_Typo</ability>
      <abilityName>字词错误</abilityName>
      <candidateList>
        <item>需</item>
      </candidateList>
      <explain>存在发音相同字词的误用。</explain>
      <paraID>21CB9A70</paraID>
      <start>146</start>
      <end>147</end>
      <status>ignored</status>
      <modifiedWord/>
      <trackRevisions>false</trackRevisions>
    </reviewItem>
    <reviewItem>
      <errorID>67d3e117-19d2-44c8-a8c3-e13a1ba35e14</errorID>
      <errorWord>、</errorWord>
      <group>L1_Word</group>
      <groupName>字词问题</groupName>
      <ability>L2_Typo</ability>
      <abilityName>字词错误</abilityName>
      <candidateList>
        <item>、以</item>
      </candidateList>
      <explain/>
      <paraID>55EDCA51</paraID>
      <start>54</start>
      <end>55</end>
      <status>ignored</status>
      <modifiedWord/>
      <trackRevisions>false</trackRevisions>
    </reviewItem>
    <reviewItem>
      <errorID>c08ed89f-77e7-49e7-ac6a-b6793e2735bc</errorID>
      <errorWord>.</errorWord>
      <group>L1_Format</group>
      <groupName>格式问题</groupName>
      <ability>L2_HalfPunc</ability>
      <abilityName>全半角检查</abilityName>
      <candidateList>
        <item>。</item>
      </candidateList>
      <explain>文本全半角错误。</explain>
      <paraID>1CC0541F</paraID>
      <start>8</start>
      <end>9</end>
      <status>unmodified</status>
      <modifiedWord/>
      <trackRevisions>false</trackRevisions>
    </reviewItem>
    <reviewItem>
      <errorID>243e0542-3afd-4d92-a4de-509689527642</errorID>
      <errorWord>.</errorWord>
      <group>L1_Format</group>
      <groupName>格式问题</groupName>
      <ability>L2_HalfPunc</ability>
      <abilityName>全半角检查</abilityName>
      <candidateList>
        <item>。</item>
      </candidateList>
      <explain>文本全半角错误。</explain>
      <paraID>1CC0541F</paraID>
      <start>11</start>
      <end>12</end>
      <status>unmodified</status>
      <modifiedWord/>
      <trackRevisions>false</trackRevisions>
    </reviewItem>
    <reviewItem>
      <errorID>f2a73c5c-5b7e-425a-9c19-ad42ea04f99d</errorID>
      <errorWord>(</errorWord>
      <group>L1_Format</group>
      <groupName>格式问题</groupName>
      <ability>L2_HalfPunc</ability>
      <abilityName>全半角检查</abilityName>
      <candidateList>
        <item>（</item>
      </candidateList>
      <explain>文本全半角错误。</explain>
      <paraID>55DCF821</paraID>
      <start>27</start>
      <end>28</end>
      <status>unmodified</status>
      <modifiedWord/>
      <trackRevisions>false</trackRevisions>
    </reviewItem>
    <reviewItem>
      <errorID>3f6f41cb-508f-45d9-863b-eec3fa4b1509</errorID>
      <errorWord>)</errorWord>
      <group>L1_Format</group>
      <groupName>格式问题</groupName>
      <ability>L2_HalfPunc</ability>
      <abilityName>全半角检查</abilityName>
      <candidateList>
        <item>）</item>
      </candidateList>
      <explain>文本全半角错误。</explain>
      <paraID>55DCF821</paraID>
      <start>41</start>
      <end>42</end>
      <status>unmodified</status>
      <modifiedWord/>
      <trackRevisions>false</trackRevisions>
    </reviewItem>
    <reviewItem>
      <errorID>d5491da0-d606-48cb-9e24-9e589fa7ec43</errorID>
      <errorWord>按《中华人民共和国</errorWord>
      <group>L1_Word</group>
      <groupName>字词问题</groupName>
      <ability>L2_Typo</ability>
      <abilityName>字词错误</abilityName>
      <candidateList>
        <item>按照《中华人民共和国</item>
      </candidateList>
      <explain/>
      <paraID>1B513E94</paraID>
      <start>10</start>
      <end>19</end>
      <status>unmodified</status>
      <modifiedWord/>
      <trackRevisions>false</trackRevisions>
    </reviewItem>
    <reviewItem>
      <errorID>f2cd0ca9-79a7-4b4b-b699-01fd2394ac2e</errorID>
      <errorWord>须</errorWord>
      <group>L1_Word</group>
      <groupName>字词问题</groupName>
      <ability>L2_Typo</ability>
      <abilityName>字词错误</abilityName>
      <candidateList>
        <item>需</item>
      </candidateList>
      <explain>存在发音相同字词的误用。</explain>
      <paraID>29FDF08D</paraID>
      <start>14</start>
      <end>15</end>
      <status>unmodified</status>
      <modifiedWord/>
      <trackRevisions>false</trackRevisions>
    </reviewItem>
    <reviewItem>
      <errorID>a24a616d-a6f5-4257-b0e8-8ce5da75553e</errorID>
      <errorWord>和或</errorWord>
      <group>L1_Word</group>
      <groupName>字词问题</groupName>
      <ability>L2_Typo</ability>
      <abilityName>字词错误</abilityName>
      <candidateList>
        <item>和</item>
      </candidateList>
      <explain>〈量〉用于洗东西换水的次数或一剂药煎的次数：衣裳已经洗了三～｜二～药。</explain>
      <paraID>3602B4CC</paraID>
      <start>33</start>
      <end>35</end>
      <status>unmodified</status>
      <modifiedWord/>
      <trackRevisions>false</trackRevisions>
    </reviewItem>
    <reviewItem>
      <errorID>78049bc1-8ac4-4991-bf87-2f757811c732</errorID>
      <errorWord>按《中华人民共和国</errorWord>
      <group>L1_Word</group>
      <groupName>字词问题</groupName>
      <ability>L2_Typo</ability>
      <abilityName>字词错误</abilityName>
      <candidateList>
        <item>按照《中华人民共和国</item>
      </candidateList>
      <explain/>
      <paraID> 7296B7F</paraID>
      <start>18</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4df93e-1196-46f5-b074-c49c60e5efab}">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49</Pages>
  <Words>1865</Words>
  <Characters>2142</Characters>
  <Lines>247</Lines>
  <Paragraphs>69</Paragraphs>
  <TotalTime>83</TotalTime>
  <ScaleCrop>false</ScaleCrop>
  <LinksUpToDate>false</LinksUpToDate>
  <CharactersWithSpaces>2173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宿迁政府采购.晗然</dc:creator>
  <cp:lastModifiedBy>康康</cp:lastModifiedBy>
  <cp:lastPrinted>2025-07-14T07:20:00Z</cp:lastPrinted>
  <dcterms:modified xsi:type="dcterms:W3CDTF">2026-07-23T01:22:55Z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DB88355F44E845B99F2C86B27D13224F_13</vt:lpwstr>
  </property>
  <property fmtid="{D5CDD505-2E9C-101B-9397-08002B2CF9AE}" pid="4" name="KSOTemplateDocerSaveRecord">
    <vt:lpwstr>eyJoZGlkIjoiMDRlNWY3MDhkYzU4NzBjNzRlMTRmYzRlODZkNDIxZWIiLCJ1c2VySWQiOiI2MDUwOTEzNjcifQ==</vt:lpwstr>
  </property>
</Properties>
</file>